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AFB" w:rsidRPr="00502AFB" w:rsidRDefault="00502AFB" w:rsidP="00502AFB">
      <w:pPr>
        <w:jc w:val="center"/>
      </w:pPr>
      <w:r>
        <w:rPr>
          <w:noProof/>
        </w:rPr>
        <w:drawing>
          <wp:inline distT="0" distB="0" distL="0" distR="0">
            <wp:extent cx="464185" cy="607060"/>
            <wp:effectExtent l="0" t="0" r="0" b="254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B8" w:rsidRPr="00502AFB" w:rsidRDefault="00CF05B8">
      <w:pPr>
        <w:pStyle w:val="a9"/>
        <w:jc w:val="left"/>
        <w:rPr>
          <w:sz w:val="10"/>
          <w:szCs w:val="10"/>
          <w:lang w:val="en-US"/>
        </w:rPr>
      </w:pPr>
    </w:p>
    <w:p w:rsidR="00CF05B8" w:rsidRPr="007179D0" w:rsidRDefault="00454A78">
      <w:pPr>
        <w:pStyle w:val="a9"/>
        <w:rPr>
          <w:szCs w:val="32"/>
        </w:rPr>
      </w:pPr>
      <w:r w:rsidRPr="007179D0">
        <w:rPr>
          <w:szCs w:val="32"/>
        </w:rPr>
        <w:t>АДМИНИСТРАЦИЯ ГОРОДА НИЖНЕГО НОВГ</w:t>
      </w:r>
      <w:r w:rsidR="00AB0B86" w:rsidRPr="007179D0">
        <w:rPr>
          <w:szCs w:val="32"/>
        </w:rPr>
        <w:t>О</w:t>
      </w:r>
      <w:r w:rsidRPr="007179D0">
        <w:rPr>
          <w:szCs w:val="32"/>
        </w:rPr>
        <w:t>РОДА</w:t>
      </w:r>
    </w:p>
    <w:p w:rsidR="00CF05B8" w:rsidRPr="007179D0" w:rsidRDefault="00CF05B8">
      <w:pPr>
        <w:rPr>
          <w:sz w:val="18"/>
          <w:szCs w:val="18"/>
        </w:rPr>
      </w:pPr>
    </w:p>
    <w:p w:rsidR="00CF05B8" w:rsidRPr="007179D0" w:rsidRDefault="0046450A">
      <w:pPr>
        <w:pStyle w:val="6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CF05B8" w:rsidRPr="00502AFB" w:rsidRDefault="00CF05B8">
      <w:pPr>
        <w:rPr>
          <w:sz w:val="28"/>
          <w:szCs w:val="28"/>
          <w:lang w:val="en-US"/>
        </w:rPr>
      </w:pPr>
    </w:p>
    <w:tbl>
      <w:tblPr>
        <w:tblStyle w:val="ab"/>
        <w:tblpPr w:leftFromText="180" w:rightFromText="180" w:vertAnchor="text" w:horzAnchor="page" w:tblpX="1319" w:tblpY="-55"/>
        <w:tblOverlap w:val="never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1401"/>
        <w:gridCol w:w="1692"/>
        <w:gridCol w:w="1513"/>
        <w:gridCol w:w="2294"/>
      </w:tblGrid>
      <w:tr w:rsidR="002022F0" w:rsidRPr="007179D0" w:rsidTr="00502AFB">
        <w:trPr>
          <w:trHeight w:hRule="exact" w:val="467"/>
        </w:trPr>
        <w:tc>
          <w:tcPr>
            <w:tcW w:w="2732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lock w:val="sdtLocked"/>
              <w:placeholder>
                <w:docPart w:val="6C32C43590AA4C7797B40C092AE8584F"/>
              </w:placeholder>
              <w:text/>
            </w:sdtPr>
            <w:sdtEndPr>
              <w:rPr>
                <w:rStyle w:val="Datenum"/>
              </w:rPr>
            </w:sdtEndPr>
            <w:sdtContent>
              <w:p w:rsidR="002022F0" w:rsidRPr="007179D0" w:rsidRDefault="007513F8" w:rsidP="00502AFB">
                <w:pPr>
                  <w:ind w:firstLine="0"/>
                  <w:jc w:val="left"/>
                  <w:rPr>
                    <w:rStyle w:val="Datenum"/>
                    <w:sz w:val="28"/>
                    <w:szCs w:val="28"/>
                  </w:rPr>
                </w:pPr>
                <w:r>
                  <w:rPr>
                    <w:rStyle w:val="Datenum"/>
                    <w:sz w:val="28"/>
                    <w:szCs w:val="28"/>
                  </w:rPr>
                  <w:t>03.11.2023</w:t>
                </w:r>
              </w:p>
            </w:sdtContent>
          </w:sdt>
        </w:tc>
        <w:tc>
          <w:tcPr>
            <w:tcW w:w="1401" w:type="dxa"/>
          </w:tcPr>
          <w:p w:rsidR="002022F0" w:rsidRPr="007179D0" w:rsidRDefault="002022F0" w:rsidP="00502AFB">
            <w:pPr>
              <w:ind w:firstLine="0"/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2022F0" w:rsidRPr="007179D0" w:rsidRDefault="002022F0" w:rsidP="00502AFB">
            <w:pPr>
              <w:ind w:firstLine="0"/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2022F0" w:rsidRPr="007179D0" w:rsidRDefault="002022F0" w:rsidP="00502AFB">
            <w:pPr>
              <w:ind w:firstLine="0"/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2022F0" w:rsidRPr="007179D0" w:rsidRDefault="002022F0" w:rsidP="00502AFB">
            <w:pPr>
              <w:ind w:left="-108" w:firstLine="0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lock w:val="sdtLocked"/>
                <w:placeholder>
                  <w:docPart w:val="8305BE89C6854C1EBF316E4C4DE15E11"/>
                </w:placeholder>
                <w:text/>
              </w:sdtPr>
              <w:sdtEndPr>
                <w:rPr>
                  <w:rStyle w:val="Datenum"/>
                </w:rPr>
              </w:sdtEndPr>
              <w:sdtContent>
                <w:r w:rsidR="007513F8">
                  <w:rPr>
                    <w:rStyle w:val="Datenum"/>
                    <w:sz w:val="28"/>
                    <w:szCs w:val="28"/>
                    <w:lang w:val="en-US"/>
                  </w:rPr>
                  <w:t>8054</w:t>
                </w:r>
              </w:sdtContent>
            </w:sdt>
          </w:p>
        </w:tc>
      </w:tr>
    </w:tbl>
    <w:tbl>
      <w:tblPr>
        <w:tblStyle w:val="ab"/>
        <w:tblpPr w:leftFromText="180" w:rightFromText="180" w:vertAnchor="text" w:horzAnchor="margin" w:tblpX="-142" w:tblpYSpec="inside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953"/>
        <w:gridCol w:w="284"/>
      </w:tblGrid>
      <w:tr w:rsidR="00BB3A20" w:rsidRPr="007179D0" w:rsidTr="00A27DF6">
        <w:tc>
          <w:tcPr>
            <w:tcW w:w="284" w:type="dxa"/>
          </w:tcPr>
          <w:p w:rsidR="00BB3A20" w:rsidRPr="007179D0" w:rsidRDefault="00BB3A20" w:rsidP="00A27DF6">
            <w:pPr>
              <w:ind w:firstLine="0"/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953" w:type="dxa"/>
          </w:tcPr>
          <w:p w:rsidR="00BB3A20" w:rsidRPr="007179D0" w:rsidRDefault="00BB3A20" w:rsidP="00A27DF6">
            <w:pPr>
              <w:spacing w:line="36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BB3A20" w:rsidRPr="007179D0" w:rsidRDefault="00BB3A20" w:rsidP="00A27DF6">
            <w:pPr>
              <w:ind w:firstLine="0"/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BB3A20" w:rsidRPr="007179D0" w:rsidTr="00A27DF6">
        <w:tc>
          <w:tcPr>
            <w:tcW w:w="6516" w:type="dxa"/>
            <w:gridSpan w:val="3"/>
          </w:tcPr>
          <w:p w:rsidR="00BB3A20" w:rsidRPr="007179D0" w:rsidRDefault="007513F8" w:rsidP="00A27DF6">
            <w:pPr>
              <w:ind w:firstLine="0"/>
              <w:rPr>
                <w:sz w:val="28"/>
                <w:szCs w:val="28"/>
              </w:rPr>
            </w:pPr>
            <w:sdt>
              <w:sdtPr>
                <w:rPr>
                  <w:rStyle w:val="Datenum"/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AC56FBE1A88043EEA97C8103FF89DAD3"/>
                </w:placeholder>
                <w:text/>
              </w:sdtPr>
              <w:sdtEndPr>
                <w:rPr>
                  <w:rStyle w:val="Datenum"/>
                </w:rPr>
              </w:sdtEndPr>
              <w:sdtContent>
                <w:r>
                  <w:rPr>
                    <w:rStyle w:val="Datenum"/>
                    <w:b/>
                    <w:sz w:val="28"/>
                    <w:szCs w:val="28"/>
                  </w:rPr>
                  <w:t>О принятии решения о внесении в городскую Думу города Нижнего Новгорода проекта бюджета города на 2024 год и на плановый период 2025-2026 годов, одобрении Прогноза социально-экономического развития города Нижнего Новгорода на 2024 - 2026 годы и скорректированного Прогноза социально-экономического развития города Нижнего Новгорода на 2023-2032 годы</w:t>
                </w:r>
              </w:sdtContent>
            </w:sdt>
          </w:p>
        </w:tc>
      </w:tr>
    </w:tbl>
    <w:p w:rsidR="007179D0" w:rsidRPr="007179D0" w:rsidRDefault="007179D0" w:rsidP="000F19E1">
      <w:pPr>
        <w:spacing w:line="360" w:lineRule="auto"/>
        <w:rPr>
          <w:sz w:val="28"/>
          <w:szCs w:val="28"/>
        </w:rPr>
      </w:pPr>
    </w:p>
    <w:p w:rsidR="004328F6" w:rsidRPr="007179D0" w:rsidRDefault="00B542D9" w:rsidP="00A27DF6">
      <w:pPr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4328F6" w:rsidRPr="007179D0" w:rsidRDefault="004328F6" w:rsidP="00A27DF6">
      <w:pPr>
        <w:ind w:firstLine="567"/>
        <w:rPr>
          <w:sz w:val="28"/>
          <w:szCs w:val="28"/>
        </w:rPr>
      </w:pP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170.1, 173 Бюджетного кодекса РФ, со статьей 43 Устава города Нижнего Новгорода, решением городской Думы города Нижнего Новгорода от 29.05.2013 № 79 «О Положении о бюджетном процессе в муниципальном образовании городской округ город Нижний Новгород», постановлением администрации города Нижнего Новгорода от 03.07.2014 № 2457 «Об утверждении Порядка разработки прогноза социально-экономического развития города Нижнего Новгорода на очередной финансовый год и плановый период», постановлением администрации города Нижнего Новгорода от 23.12.2015 № 2899 «Об утверждении Порядка разработки и корректировки прогноза социально-экономического развития города Нижнего Новгорода на долгосрочный период» в целях формирования бюджета города Нижнего Новгорода на 2024 год и на плановый период 2025-2026 годов, бюджетного прогноза города Нижнего Новгорода на 2023-2032 годы администрация города Нижнего Новгорода </w:t>
      </w:r>
      <w:r w:rsidRPr="00A27DF6">
        <w:rPr>
          <w:b/>
          <w:spacing w:val="20"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городскую Думу города Нижнего Новгорода в срок не позднее 14.11.2023 проект бюджета города Нижнего Новгорода на 2024 год и на плановый период 2025-2026 годов в порядке и объеме, предусмотренными Положением о </w:t>
      </w:r>
      <w:r>
        <w:rPr>
          <w:sz w:val="28"/>
          <w:szCs w:val="28"/>
        </w:rPr>
        <w:lastRenderedPageBreak/>
        <w:t>бюджетном процессе в муниципальном образовании городской округ город Нижний Новгород, принятым решением городской Думы города Нижнего Новгорода от 29.05.2013 № 79.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Одобрить прогноз социально-экономического развития города Нижнего Новгорода на 2024 - 2026 годы согласно приложению № 1 к настоящему постановлению.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Одобрить</w:t>
      </w:r>
      <w:r>
        <w:rPr>
          <w:rStyle w:val="Datenum"/>
          <w:rFonts w:eastAsia="Calibri"/>
          <w:szCs w:val="28"/>
        </w:rPr>
        <w:t xml:space="preserve"> </w:t>
      </w:r>
      <w:r w:rsidRPr="00A27DF6">
        <w:rPr>
          <w:rStyle w:val="Datenum"/>
          <w:rFonts w:eastAsia="Calibri"/>
          <w:sz w:val="28"/>
          <w:szCs w:val="28"/>
        </w:rPr>
        <w:t>скорректированный</w:t>
      </w:r>
      <w:r>
        <w:rPr>
          <w:sz w:val="28"/>
          <w:szCs w:val="28"/>
        </w:rPr>
        <w:t xml:space="preserve"> Прогноз социально-экономического развития города Нижнего Новгорода на 2023 - 2032 годы согласно приложению № 2 к настоящему постановлению.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информационной политики администрации города Нижнего Новгорода обеспечить опубликование настоящего постановления в официальном печатном средстве массовой информации - газете «День города. Нижний Новгород».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Юридическому департаменту администрации города Нижнего Новгорода (</w:t>
      </w:r>
      <w:proofErr w:type="spellStart"/>
      <w:r>
        <w:rPr>
          <w:sz w:val="28"/>
          <w:szCs w:val="28"/>
        </w:rPr>
        <w:t>Витушкина</w:t>
      </w:r>
      <w:proofErr w:type="spellEnd"/>
      <w:r>
        <w:rPr>
          <w:sz w:val="28"/>
          <w:szCs w:val="28"/>
        </w:rPr>
        <w:t xml:space="preserve"> Т.А.) обеспечить размещение настоящего постановления на официальном сайте администрации города Нижнего Новгорода в информационно - телекоммуникационной сети «Интернет».</w:t>
      </w:r>
    </w:p>
    <w:p w:rsidR="00A27DF6" w:rsidRDefault="00A27DF6" w:rsidP="00A2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Контроль за исполнением постановления оставляю за собой.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полномочия </w:t>
      </w:r>
    </w:p>
    <w:p w:rsidR="00A27DF6" w:rsidRDefault="00A27DF6" w:rsidP="00A27D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главы города                                                                                                 </w:t>
      </w:r>
      <w:proofErr w:type="spellStart"/>
      <w:r>
        <w:rPr>
          <w:sz w:val="28"/>
          <w:szCs w:val="28"/>
        </w:rPr>
        <w:t>Д.А.Скалкин</w:t>
      </w:r>
      <w:proofErr w:type="spellEnd"/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jc w:val="both"/>
        <w:rPr>
          <w:sz w:val="28"/>
          <w:szCs w:val="28"/>
        </w:rPr>
      </w:pPr>
    </w:p>
    <w:p w:rsidR="00A27DF6" w:rsidRDefault="00A27DF6" w:rsidP="00A27DF6">
      <w:pPr>
        <w:jc w:val="both"/>
        <w:rPr>
          <w:sz w:val="28"/>
          <w:szCs w:val="28"/>
        </w:rPr>
      </w:pPr>
    </w:p>
    <w:p w:rsidR="00A27DF6" w:rsidRPr="00A27DF6" w:rsidRDefault="00A27DF6" w:rsidP="00A27DF6">
      <w:pPr>
        <w:jc w:val="both"/>
        <w:rPr>
          <w:sz w:val="28"/>
          <w:szCs w:val="28"/>
        </w:rPr>
      </w:pPr>
      <w:proofErr w:type="spellStart"/>
      <w:r w:rsidRPr="00A27DF6">
        <w:rPr>
          <w:sz w:val="28"/>
          <w:szCs w:val="28"/>
        </w:rPr>
        <w:t>М</w:t>
      </w:r>
      <w:r>
        <w:rPr>
          <w:sz w:val="28"/>
          <w:szCs w:val="28"/>
        </w:rPr>
        <w:t>.</w:t>
      </w:r>
      <w:r w:rsidRPr="00A27DF6">
        <w:rPr>
          <w:sz w:val="28"/>
          <w:szCs w:val="28"/>
        </w:rPr>
        <w:t>Л</w:t>
      </w:r>
      <w:r>
        <w:rPr>
          <w:sz w:val="28"/>
          <w:szCs w:val="28"/>
        </w:rPr>
        <w:t>.</w:t>
      </w:r>
      <w:r w:rsidRPr="00A27DF6">
        <w:rPr>
          <w:sz w:val="28"/>
          <w:szCs w:val="28"/>
        </w:rPr>
        <w:t>Антипова</w:t>
      </w:r>
      <w:proofErr w:type="spellEnd"/>
      <w:r w:rsidRPr="00A27DF6">
        <w:rPr>
          <w:sz w:val="28"/>
          <w:szCs w:val="28"/>
        </w:rPr>
        <w:t xml:space="preserve"> </w:t>
      </w:r>
    </w:p>
    <w:p w:rsidR="00A27DF6" w:rsidRDefault="00A27DF6" w:rsidP="00A27DF6">
      <w:pPr>
        <w:jc w:val="both"/>
        <w:rPr>
          <w:sz w:val="28"/>
          <w:szCs w:val="28"/>
        </w:rPr>
      </w:pPr>
      <w:r w:rsidRPr="00A27DF6">
        <w:rPr>
          <w:sz w:val="28"/>
          <w:szCs w:val="28"/>
        </w:rPr>
        <w:t>467 10 20</w:t>
      </w:r>
    </w:p>
    <w:p w:rsidR="00A30501" w:rsidRDefault="00A30501" w:rsidP="00A27DF6">
      <w:pPr>
        <w:jc w:val="both"/>
        <w:rPr>
          <w:sz w:val="28"/>
          <w:szCs w:val="28"/>
        </w:rPr>
      </w:pPr>
    </w:p>
    <w:p w:rsidR="008F15F8" w:rsidRPr="00A27DF6" w:rsidRDefault="008F15F8" w:rsidP="00A27DF6">
      <w:pPr>
        <w:jc w:val="both"/>
        <w:rPr>
          <w:sz w:val="28"/>
          <w:szCs w:val="28"/>
        </w:rPr>
      </w:pPr>
    </w:p>
    <w:p w:rsidR="00A27DF6" w:rsidRDefault="00A27DF6" w:rsidP="00A27DF6">
      <w:pPr>
        <w:suppressAutoHyphens/>
        <w:ind w:firstLine="4395"/>
        <w:jc w:val="center"/>
        <w:rPr>
          <w:sz w:val="28"/>
          <w:szCs w:val="24"/>
        </w:rPr>
      </w:pPr>
      <w:r>
        <w:rPr>
          <w:sz w:val="28"/>
        </w:rPr>
        <w:lastRenderedPageBreak/>
        <w:t>ПРИЛОЖЕНИЕ № 1</w:t>
      </w:r>
    </w:p>
    <w:p w:rsidR="00A27DF6" w:rsidRDefault="00A27DF6" w:rsidP="00A27DF6">
      <w:pPr>
        <w:suppressAutoHyphens/>
        <w:ind w:firstLine="4395"/>
        <w:jc w:val="center"/>
        <w:rPr>
          <w:sz w:val="28"/>
        </w:rPr>
      </w:pPr>
      <w:r>
        <w:rPr>
          <w:sz w:val="28"/>
        </w:rPr>
        <w:t>к постановлению администрации</w:t>
      </w:r>
    </w:p>
    <w:p w:rsidR="00A27DF6" w:rsidRDefault="00A27DF6" w:rsidP="00A27DF6">
      <w:pPr>
        <w:suppressAutoHyphens/>
        <w:ind w:firstLine="4395"/>
        <w:jc w:val="center"/>
        <w:rPr>
          <w:sz w:val="28"/>
        </w:rPr>
      </w:pPr>
      <w:r>
        <w:rPr>
          <w:sz w:val="28"/>
        </w:rPr>
        <w:t>города</w:t>
      </w:r>
    </w:p>
    <w:p w:rsidR="00A27DF6" w:rsidRDefault="00A27DF6" w:rsidP="00A27DF6">
      <w:pPr>
        <w:suppressAutoHyphens/>
        <w:ind w:firstLine="4395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7513F8">
        <w:rPr>
          <w:sz w:val="28"/>
        </w:rPr>
        <w:t>03.11.2023</w:t>
      </w:r>
      <w:r>
        <w:rPr>
          <w:sz w:val="28"/>
        </w:rPr>
        <w:t xml:space="preserve">  №</w:t>
      </w:r>
      <w:proofErr w:type="gramEnd"/>
      <w:r>
        <w:rPr>
          <w:sz w:val="28"/>
        </w:rPr>
        <w:t xml:space="preserve"> </w:t>
      </w:r>
      <w:r w:rsidR="007513F8">
        <w:rPr>
          <w:sz w:val="28"/>
        </w:rPr>
        <w:t>8054</w:t>
      </w:r>
    </w:p>
    <w:p w:rsidR="00A27DF6" w:rsidRDefault="00A27DF6" w:rsidP="00A27DF6">
      <w:pPr>
        <w:suppressAutoHyphens/>
        <w:autoSpaceDE w:val="0"/>
        <w:autoSpaceDN w:val="0"/>
        <w:adjustRightInd w:val="0"/>
        <w:spacing w:before="108" w:after="108"/>
        <w:ind w:firstLine="4395"/>
        <w:jc w:val="center"/>
        <w:outlineLvl w:val="0"/>
        <w:rPr>
          <w:sz w:val="66"/>
        </w:rPr>
      </w:pPr>
    </w:p>
    <w:p w:rsidR="00A27DF6" w:rsidRDefault="00A27DF6" w:rsidP="00A27DF6">
      <w:pPr>
        <w:suppressAutoHyphens/>
        <w:autoSpaceDE w:val="0"/>
        <w:autoSpaceDN w:val="0"/>
        <w:adjustRightInd w:val="0"/>
        <w:spacing w:before="108" w:after="108"/>
        <w:jc w:val="center"/>
        <w:outlineLvl w:val="0"/>
        <w:rPr>
          <w:sz w:val="66"/>
        </w:rPr>
      </w:pPr>
    </w:p>
    <w:p w:rsidR="00A27DF6" w:rsidRDefault="00A27DF6" w:rsidP="00A27DF6">
      <w:pPr>
        <w:suppressAutoHyphens/>
        <w:autoSpaceDE w:val="0"/>
        <w:autoSpaceDN w:val="0"/>
        <w:adjustRightInd w:val="0"/>
        <w:spacing w:before="108" w:after="108"/>
        <w:jc w:val="center"/>
        <w:outlineLvl w:val="0"/>
        <w:rPr>
          <w:sz w:val="66"/>
        </w:rPr>
      </w:pPr>
      <w:r>
        <w:rPr>
          <w:sz w:val="66"/>
        </w:rPr>
        <w:t>Прогноз</w:t>
      </w: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>социально – экономического развития города</w:t>
      </w: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 xml:space="preserve"> Нижнего Новгорода </w:t>
      </w: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>на 2024-2026 годы</w:t>
      </w: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rPr>
          <w:sz w:val="56"/>
          <w:szCs w:val="56"/>
        </w:rPr>
      </w:pPr>
    </w:p>
    <w:p w:rsidR="00A27DF6" w:rsidRDefault="00A27DF6" w:rsidP="00A27DF6">
      <w:pPr>
        <w:suppressAutoHyphens/>
        <w:rPr>
          <w:sz w:val="56"/>
          <w:szCs w:val="56"/>
        </w:rPr>
      </w:pPr>
    </w:p>
    <w:p w:rsidR="00A27DF6" w:rsidRDefault="00A27DF6" w:rsidP="00A27DF6">
      <w:pPr>
        <w:suppressAutoHyphens/>
        <w:rPr>
          <w:sz w:val="56"/>
          <w:szCs w:val="56"/>
        </w:rPr>
      </w:pPr>
    </w:p>
    <w:p w:rsidR="00A27DF6" w:rsidRDefault="00A27DF6" w:rsidP="00A27DF6">
      <w:pPr>
        <w:suppressAutoHyphens/>
        <w:rPr>
          <w:sz w:val="56"/>
          <w:szCs w:val="56"/>
        </w:rPr>
      </w:pPr>
    </w:p>
    <w:p w:rsidR="00A27DF6" w:rsidRDefault="00A27DF6" w:rsidP="00A27DF6">
      <w:pPr>
        <w:suppressAutoHyphens/>
        <w:jc w:val="center"/>
        <w:rPr>
          <w:sz w:val="28"/>
        </w:rPr>
      </w:pPr>
      <w:r>
        <w:rPr>
          <w:sz w:val="28"/>
        </w:rPr>
        <w:t>Нижний Новгород</w:t>
      </w:r>
    </w:p>
    <w:p w:rsidR="00A27DF6" w:rsidRDefault="00A27DF6" w:rsidP="00A27DF6">
      <w:pPr>
        <w:suppressAutoHyphens/>
        <w:jc w:val="center"/>
        <w:rPr>
          <w:sz w:val="28"/>
        </w:rPr>
      </w:pPr>
      <w:r>
        <w:rPr>
          <w:sz w:val="28"/>
        </w:rPr>
        <w:t>2023 год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 xml:space="preserve">За основу при формировании среднесрочного прогноза был принят базовый вариант, согласно которому вектор социально-экономического развития в прогнозном периоде будет определяться эффективностью реализации мер, направленных на структурную перестройку российской экономики в рамках решения следующих приоритетных задач: расширения внешнеэкономического взаимодействия с перспективными партнерами из дружественных государств и развития необходимой инфраструктуры (в том числе транспортной и платежной), укрепления технологического суверенитета, обеспечения финансового суверенитета, опережающего развития транспортной, коммунальной и социальной инфраструктуры, повышения благосостояния граждан, а также обеспечения </w:t>
      </w:r>
      <w:proofErr w:type="spellStart"/>
      <w:r>
        <w:rPr>
          <w:sz w:val="28"/>
          <w:szCs w:val="28"/>
        </w:rPr>
        <w:t>народосбережения</w:t>
      </w:r>
      <w:proofErr w:type="spellEnd"/>
      <w:r>
        <w:rPr>
          <w:sz w:val="28"/>
          <w:szCs w:val="28"/>
        </w:rPr>
        <w:t>, защиты материнства и детства, поддержки семей, имеющих детей.</w:t>
      </w:r>
    </w:p>
    <w:p w:rsidR="00A27DF6" w:rsidRDefault="00A27DF6" w:rsidP="00A27DF6">
      <w:pPr>
        <w:pStyle w:val="HeadDoc"/>
        <w:keepLines w:val="0"/>
        <w:suppressAutoHyphens/>
        <w:overflowPunct/>
        <w:autoSpaceDE/>
        <w:adjustRightInd/>
        <w:ind w:firstLine="709"/>
        <w:jc w:val="center"/>
      </w:pPr>
    </w:p>
    <w:p w:rsidR="00A27DF6" w:rsidRPr="00A27DF6" w:rsidRDefault="00A27DF6" w:rsidP="00DF5B9B">
      <w:pPr>
        <w:pStyle w:val="HeadDoc"/>
        <w:keepLines w:val="0"/>
        <w:suppressAutoHyphens/>
        <w:overflowPunct/>
        <w:autoSpaceDE/>
        <w:adjustRightInd/>
        <w:jc w:val="center"/>
        <w:rPr>
          <w:szCs w:val="28"/>
        </w:rPr>
      </w:pPr>
      <w:r w:rsidRPr="00A27DF6">
        <w:rPr>
          <w:szCs w:val="28"/>
        </w:rPr>
        <w:t>1. Прогноз экономической деятельности предприятий</w:t>
      </w:r>
    </w:p>
    <w:p w:rsidR="00A27DF6" w:rsidRPr="00A27DF6" w:rsidRDefault="00A27DF6" w:rsidP="00A27DF6">
      <w:pPr>
        <w:tabs>
          <w:tab w:val="num" w:pos="0"/>
        </w:tabs>
        <w:suppressAutoHyphens/>
        <w:ind w:firstLine="709"/>
        <w:jc w:val="both"/>
        <w:rPr>
          <w:color w:val="FF0000"/>
          <w:sz w:val="28"/>
          <w:szCs w:val="28"/>
        </w:rPr>
      </w:pP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развития экономической деятельности предприятий в 2024-2026 гг. разработан исходя из специфики сложившейся структуры экономики города и видов экономической деятельности, прогнозных темпов роста отгруженной продукции, прогнозных индексов цен, с использованием данных, представленных крупными, средними и малыми предприятиями города. В прогнозе учтены итоги развития экономики города в январе-июле 2023 года, прогнозируемые тенденции развития экономической ситуации на федеральном и региональном уровне.</w:t>
      </w:r>
    </w:p>
    <w:p w:rsidR="008D3BAF" w:rsidRDefault="008D3BAF" w:rsidP="00A27DF6">
      <w:pPr>
        <w:tabs>
          <w:tab w:val="num" w:pos="0"/>
        </w:tabs>
        <w:suppressAutoHyphens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27DF6" w:rsidRDefault="00A27DF6" w:rsidP="008D3BAF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1.1. Прогноз объемов отгруженной продукции собственного производства, выполненных работ и услуг собственными силами</w:t>
      </w:r>
    </w:p>
    <w:p w:rsidR="008D3BAF" w:rsidRDefault="008D3BAF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- выступает основным показателем, по которому оценивается общее состояние экономики муниципалитета. 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</w:rPr>
        <w:t>В него включаются объемы отгруженных товаров и выполняемых работ по следующим основным видам экономической деятельности: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«сельское, лесное хозяйство, охота, рыболовство и рыбоводство»;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«добыча полезных ископаемых»;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«обрабатывающие производства»;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«обеспечение электрической энергией, газом и паром; кондиционирование воздуха»;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</w:t>
      </w:r>
      <w:r>
        <w:rPr>
          <w:iCs/>
          <w:sz w:val="28"/>
        </w:rPr>
        <w:t>водоснабжение, водоотведение, организация сбора и утилизация отходов, деятельность по ликвидации загрязнений</w:t>
      </w:r>
      <w:r>
        <w:rPr>
          <w:sz w:val="28"/>
        </w:rPr>
        <w:t>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«строительство»;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«транспортировка и хранение»;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«торговля оптовая и розничная, ремонт автотранспортных средств и мотоциклов»;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«деятельность в области информации и связи»;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«деятельность профессиональная, научная и техническая»;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«образование»;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«деятельность в области здравоохранения и социальных услуг»;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«деятельность в области культуры, спорта, организации досуга и развлечений»;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а также по прочим видам экономической деятельности.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Промышленное производство является базовым сектором экономики Нижнего Новгорода, тенденции развития данной отрасли в среднесрочной и долгосрочной перспективе в большей степени определяют вектор развития экономики города.  Структура промышленного производства состоит из четырёх видов промышленной деятельности: «обрабатывающие производства»; «обеспечение электрической энергией, газом и паром; кондиционирование воздуха»; «</w:t>
      </w:r>
      <w:r>
        <w:rPr>
          <w:iCs/>
          <w:sz w:val="28"/>
          <w:szCs w:val="28"/>
        </w:rPr>
        <w:t>водоснабжение, водоотведение, организация сбора и утилизация отходов, деятельность по ликвидации загрязнений</w:t>
      </w:r>
      <w:r>
        <w:rPr>
          <w:sz w:val="28"/>
          <w:szCs w:val="28"/>
        </w:rPr>
        <w:t>»; «добыча полезных ископаемых».</w:t>
      </w:r>
    </w:p>
    <w:p w:rsidR="008D3BAF" w:rsidRDefault="008D3BAF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Pr="008D3BAF" w:rsidRDefault="00A27DF6" w:rsidP="008D3BAF">
      <w:pPr>
        <w:numPr>
          <w:ilvl w:val="2"/>
          <w:numId w:val="24"/>
        </w:numPr>
        <w:suppressAutoHyphens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Основные тенденции развития экономики города в отчетном 2022 году </w:t>
      </w:r>
      <w:r w:rsidRPr="008D3BAF">
        <w:rPr>
          <w:sz w:val="28"/>
          <w:szCs w:val="28"/>
        </w:rPr>
        <w:t>и текущем 2023 году</w:t>
      </w:r>
    </w:p>
    <w:p w:rsidR="008D3BAF" w:rsidRDefault="008D3BAF" w:rsidP="008D3BAF">
      <w:pPr>
        <w:suppressAutoHyphens/>
        <w:ind w:left="1779"/>
        <w:jc w:val="both"/>
        <w:rPr>
          <w:sz w:val="28"/>
          <w:szCs w:val="28"/>
        </w:rPr>
      </w:pP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экономическая ситуация в стране, осложненная усиливающимся </w:t>
      </w:r>
      <w:proofErr w:type="spellStart"/>
      <w:r>
        <w:rPr>
          <w:sz w:val="28"/>
          <w:szCs w:val="28"/>
        </w:rPr>
        <w:t>санкционным</w:t>
      </w:r>
      <w:proofErr w:type="spellEnd"/>
      <w:r>
        <w:rPr>
          <w:sz w:val="28"/>
          <w:szCs w:val="28"/>
        </w:rPr>
        <w:t xml:space="preserve"> давлением, безусловно повлияла и на экономику города Нижнего Новгорода.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отгруженной продукции по полному кругу предприятий в 2022 году увеличился на 11,2% в действующих ценах и составил 1546,0 млрд. руб. (98,1% в сопоставимых ценах).</w:t>
      </w:r>
    </w:p>
    <w:p w:rsidR="00A27DF6" w:rsidRDefault="00A27DF6" w:rsidP="00A27DF6">
      <w:pPr>
        <w:ind w:firstLine="709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Крупными, средними и малыми предприятиями города было отгружено промышленной продукции на </w:t>
      </w:r>
      <w:r>
        <w:rPr>
          <w:bCs/>
          <w:sz w:val="28"/>
          <w:szCs w:val="28"/>
        </w:rPr>
        <w:t xml:space="preserve">753,7 млрд. руб. (в действующих ценах -104,3%; в сопоставимых – 88,5%).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наибольшей степени негативное влияние антироссийских санкций в 2022 году ощутили на себе предприятия и организации обрабатывающей промышленности города. Сильнее всего пострадали те отрасли, которые поставляли свою продукцию за рубеж или зависящие от поставок иностранных деталей, материалов и комплектующих - это производство автотранспортных средств, прицепов и полуприцепов (в действующих ценах – 67,5%, в сопоставимых – 49,5%);</w:t>
      </w:r>
      <w:r>
        <w:t xml:space="preserve"> </w:t>
      </w:r>
      <w:r>
        <w:rPr>
          <w:sz w:val="28"/>
          <w:szCs w:val="28"/>
        </w:rPr>
        <w:t>производство прочих транспортных средств и оборудования (в действующих ценах – 79,1%, в сопоставимых – 73,8%); металлургическое производство (в действующих ценах – 93,5%, в сопоставимых – 72,1%), а также производство резиновых и пластмассовых изделий (в действующих ценах - 66,6%, в сопоставимых – 57,5%).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значительный рост объемов производства в 2022 году показали отрасли, обеспечивающие оборонный заказ - производство готовых металлических изделий, кроме машин и оборудования (в действующих ценах – 167,9%, в сопоставимых - 128%); производство компьютеров, электронных и оптических изделий (в действующих ценах – 138,8%, в сопоставимых – 123,2%). Кроме того, положительная динамика наблюдалась у ряда отраслей, которые смогли занять производственные и товарные ниши из-за ухода иностранных конкурентов и сокращения доли импортной продукции – это производство бумаги и бумажных изделий (в действующих ценах – 144,8%, в сопоставимых – 128,8%); производство химических веществ и химических продуктов (в действующих ценах – 132,5%, в сопоставимых – 108,9%); производство электрического оборудования (в действующих ценах – 119,7%, в сопоставимых – 108,6%) и пр.</w:t>
      </w:r>
    </w:p>
    <w:p w:rsidR="00A27DF6" w:rsidRDefault="00A27DF6" w:rsidP="00A27DF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Доля продукции, произведенной малыми предприятиями, в общем объеме отгруженной продукции всей экономики города по итогам 2022 года составила 29,1%. Малое предпринимательство является неотъемлемой составной частью экономики города Нижнего Новгорода, укрепляя его экономический потенциал. Малые предприятия представлены практически во всех секторах экономики города, но наибольшую долю малый бизнес традиционно занимает в таких ключевых видах деятельности, как «</w:t>
      </w:r>
      <w:r>
        <w:rPr>
          <w:iCs/>
          <w:sz w:val="28"/>
          <w:szCs w:val="28"/>
        </w:rPr>
        <w:t>торговля оптовая и розничная, ремонт автотранспортных средств и мотоциклов</w:t>
      </w:r>
      <w:r>
        <w:rPr>
          <w:sz w:val="28"/>
          <w:szCs w:val="28"/>
        </w:rPr>
        <w:t>» (85,4%) и «строительство» (76,8%).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Pr="00A27DF6" w:rsidRDefault="00A27DF6" w:rsidP="00A27DF6">
      <w:pPr>
        <w:jc w:val="center"/>
        <w:rPr>
          <w:sz w:val="28"/>
          <w:szCs w:val="28"/>
        </w:rPr>
      </w:pPr>
      <w:r w:rsidRPr="00A27DF6">
        <w:rPr>
          <w:sz w:val="28"/>
          <w:szCs w:val="28"/>
        </w:rPr>
        <w:t>Доля продукции малых предприятий в общем объеме</w:t>
      </w:r>
    </w:p>
    <w:p w:rsidR="00A27DF6" w:rsidRPr="00A27DF6" w:rsidRDefault="00A27DF6" w:rsidP="00A27DF6">
      <w:pPr>
        <w:jc w:val="center"/>
        <w:rPr>
          <w:sz w:val="28"/>
          <w:szCs w:val="28"/>
        </w:rPr>
      </w:pPr>
      <w:r w:rsidRPr="00A27DF6">
        <w:rPr>
          <w:sz w:val="28"/>
          <w:szCs w:val="28"/>
        </w:rPr>
        <w:t xml:space="preserve">отгруженной в 2022 году продукции (по полному кругу предприятий) </w:t>
      </w:r>
    </w:p>
    <w:p w:rsidR="00A27DF6" w:rsidRDefault="00A27DF6" w:rsidP="00A27DF6">
      <w:pPr>
        <w:jc w:val="center"/>
        <w:rPr>
          <w:sz w:val="24"/>
          <w:szCs w:val="24"/>
        </w:rPr>
      </w:pPr>
    </w:p>
    <w:tbl>
      <w:tblPr>
        <w:tblW w:w="102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642"/>
        <w:gridCol w:w="1902"/>
        <w:gridCol w:w="2126"/>
        <w:gridCol w:w="1916"/>
      </w:tblGrid>
      <w:tr w:rsidR="00A27DF6" w:rsidTr="00A27DF6">
        <w:trPr>
          <w:trHeight w:val="2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Наименование вида экономической </w:t>
            </w:r>
          </w:p>
          <w:p w:rsidR="00A27DF6" w:rsidRDefault="00A27DF6">
            <w:pPr>
              <w:jc w:val="center"/>
            </w:pPr>
            <w:r>
              <w:rPr>
                <w:bCs/>
              </w:rPr>
              <w:t>деятельности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Отгружено товаров собственного производства, выполнено работ и услуг собственными силами, млн. руб.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 w:rsidP="00A27DF6">
            <w:pPr>
              <w:jc w:val="center"/>
            </w:pPr>
            <w:r>
              <w:t>Доля малых предприятий в общем объеме отгруженной продукции по полному кругу предприятий, %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 w:rsidP="00A27DF6">
            <w:pPr>
              <w:jc w:val="center"/>
            </w:pPr>
            <w:r>
              <w:t>Структура экономики города по полному кругу предприятий, %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 xml:space="preserve">Малые </w:t>
            </w:r>
          </w:p>
          <w:p w:rsidR="00A27DF6" w:rsidRDefault="00A27DF6">
            <w:pPr>
              <w:jc w:val="center"/>
            </w:pPr>
            <w:r>
              <w:t>предприятия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Полный круг предприятий (крупные, средние и малые)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pacing w:before="20" w:after="20"/>
              <w:rPr>
                <w:bCs/>
              </w:rPr>
            </w:pPr>
            <w:r>
              <w:rPr>
                <w:bCs/>
              </w:rPr>
              <w:t>Нижний Новгород, всего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jc w:val="center"/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LINK Excel.Sheet.12 "C:\\Мои документы\\Прогноз соц-эк развития по годам\\Прогноз соц-эк развития 2024\\СЭД\\Прогноз_2023\\Предварительный прогноз 2024-2026 (предварительный).xlsx" "Расчет малых 2022 !R4C6" \a \f 5 \h  \* MERGEFORMAT </w:instrText>
            </w:r>
            <w:r>
              <w:rPr>
                <w:bCs/>
              </w:rPr>
              <w:fldChar w:fldCharType="separate"/>
            </w:r>
          </w:p>
          <w:p w:rsidR="00A27DF6" w:rsidRDefault="00A27DF6" w:rsidP="00A27DF6">
            <w:pPr>
              <w:jc w:val="center"/>
              <w:rPr>
                <w:bCs/>
              </w:rPr>
            </w:pPr>
            <w:r>
              <w:rPr>
                <w:bCs/>
              </w:rPr>
              <w:fldChar w:fldCharType="end"/>
            </w:r>
            <w:r>
              <w:rPr>
                <w:bCs/>
              </w:rPr>
              <w:t>449 586,1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1 545 952,8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29,1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100,0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Сельское хозяйство, охота и лесное хозяйство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1 147,0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2 127,7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53,9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0,1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Добыча полезных ископаемых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538,4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857,1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62,8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0,06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Обрабатывающие производства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130 921,4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653 305,5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20,0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42,3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Обеспечение электрической энергией, газом, паром, кондиционирование воздуха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4 642,1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76 766,4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6,0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5,0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Водоснабжение, водоотведение, организация сбора и утилизация отходов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6 638,7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22 789,9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29,1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1,5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Строительство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79 434,1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103 452,7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76,8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6,7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65 522,7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76 719,5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85,4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5,0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</w:rPr>
            </w:pPr>
            <w:r>
              <w:rPr>
                <w:iCs/>
              </w:rPr>
              <w:t xml:space="preserve"> Транспортировка и хранение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32 146,0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225 457,7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14,3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14,6</w:t>
            </w:r>
          </w:p>
        </w:tc>
      </w:tr>
      <w:tr w:rsidR="00A27DF6" w:rsidTr="00A27DF6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bCs/>
                <w:iCs/>
              </w:rPr>
            </w:pPr>
            <w:r>
              <w:rPr>
                <w:bCs/>
                <w:iCs/>
              </w:rPr>
              <w:t>Прочие виды деятельности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128 595,7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384 476,3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33,4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24,9</w:t>
            </w:r>
          </w:p>
        </w:tc>
      </w:tr>
    </w:tbl>
    <w:p w:rsidR="00A27DF6" w:rsidRDefault="00A27DF6" w:rsidP="00A27DF6">
      <w:pPr>
        <w:ind w:firstLine="709"/>
        <w:jc w:val="both"/>
        <w:rPr>
          <w:rFonts w:eastAsia="Calibri"/>
          <w:color w:val="000000"/>
          <w:spacing w:val="2"/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январе – июле текущего года, </w:t>
      </w:r>
      <w:r>
        <w:rPr>
          <w:spacing w:val="2"/>
          <w:sz w:val="28"/>
          <w:szCs w:val="28"/>
        </w:rPr>
        <w:t xml:space="preserve">несмотря на продолжение действия внешнеэкономических санкций, возобновился рост промышленного производства, связанный, в первую очередь, с увеличением объемов производства в обрабатывающем секторе и в секторе </w:t>
      </w:r>
      <w:r>
        <w:rPr>
          <w:iCs/>
          <w:spacing w:val="2"/>
          <w:sz w:val="28"/>
          <w:szCs w:val="28"/>
        </w:rPr>
        <w:t>водоснабжения, водоотведения, организации сбора и утилизации отходов, деятельности по ликвидации загрязнений.</w:t>
      </w:r>
    </w:p>
    <w:p w:rsidR="00A27DF6" w:rsidRDefault="00A27DF6" w:rsidP="00A27DF6">
      <w:pPr>
        <w:ind w:firstLine="709"/>
        <w:jc w:val="center"/>
        <w:rPr>
          <w:sz w:val="24"/>
          <w:szCs w:val="24"/>
        </w:rPr>
      </w:pPr>
    </w:p>
    <w:p w:rsidR="008D3BAF" w:rsidRDefault="00A27DF6" w:rsidP="008D3BAF">
      <w:pPr>
        <w:jc w:val="center"/>
        <w:rPr>
          <w:sz w:val="28"/>
          <w:szCs w:val="28"/>
        </w:rPr>
      </w:pPr>
      <w:r w:rsidRPr="008D3BAF">
        <w:rPr>
          <w:sz w:val="28"/>
          <w:szCs w:val="28"/>
        </w:rPr>
        <w:t xml:space="preserve">Показатели развития ключевых секторов и приоритетных видов </w:t>
      </w:r>
    </w:p>
    <w:p w:rsidR="00A27DF6" w:rsidRPr="008D3BAF" w:rsidRDefault="00A27DF6" w:rsidP="008D3BAF">
      <w:pPr>
        <w:jc w:val="center"/>
        <w:rPr>
          <w:sz w:val="28"/>
          <w:szCs w:val="28"/>
        </w:rPr>
      </w:pPr>
      <w:r w:rsidRPr="008D3BAF">
        <w:rPr>
          <w:sz w:val="28"/>
          <w:szCs w:val="28"/>
        </w:rPr>
        <w:t>деятельности</w:t>
      </w:r>
      <w:r w:rsidR="008D3BAF">
        <w:rPr>
          <w:sz w:val="28"/>
          <w:szCs w:val="28"/>
        </w:rPr>
        <w:t xml:space="preserve"> </w:t>
      </w:r>
      <w:r w:rsidRPr="008D3BAF">
        <w:rPr>
          <w:sz w:val="28"/>
          <w:szCs w:val="28"/>
        </w:rPr>
        <w:t>экономики города за 7 месяцев 2023 года в сравнении с соответствующим периодом предыдущего года (по крупным и средним предприятиям)</w:t>
      </w:r>
    </w:p>
    <w:p w:rsidR="00A27DF6" w:rsidRDefault="00A27DF6" w:rsidP="00A27DF6">
      <w:pPr>
        <w:suppressAutoHyphens/>
        <w:jc w:val="center"/>
        <w:rPr>
          <w:sz w:val="16"/>
          <w:szCs w:val="16"/>
        </w:rPr>
      </w:pPr>
    </w:p>
    <w:tbl>
      <w:tblPr>
        <w:tblW w:w="514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8"/>
        <w:gridCol w:w="4069"/>
      </w:tblGrid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Наименование ключевых секторов и приоритетных видов деятельности экономики города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Темп роста объемов отгруженной продукции</w:t>
            </w:r>
            <w:r w:rsidR="008D3BAF">
              <w:t xml:space="preserve"> </w:t>
            </w:r>
            <w:r>
              <w:t>за январь-июль 2023 года</w:t>
            </w:r>
          </w:p>
          <w:p w:rsidR="00A27DF6" w:rsidRDefault="00A27DF6">
            <w:pPr>
              <w:suppressAutoHyphens/>
              <w:jc w:val="center"/>
            </w:pPr>
            <w:r>
              <w:t>к соответствующему</w:t>
            </w:r>
            <w:r w:rsidR="008D3BAF">
              <w:t xml:space="preserve"> </w:t>
            </w:r>
            <w:r>
              <w:t>периоду 2022 года</w:t>
            </w:r>
          </w:p>
          <w:p w:rsidR="00A27DF6" w:rsidRDefault="00A27DF6" w:rsidP="008D3BAF">
            <w:pPr>
              <w:suppressAutoHyphens/>
              <w:jc w:val="center"/>
            </w:pPr>
            <w:r>
              <w:t>(в действующих ценах /</w:t>
            </w:r>
            <w:r w:rsidR="008D3BAF">
              <w:t xml:space="preserve"> </w:t>
            </w:r>
            <w:r>
              <w:t>в сопоставимых ценах), %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Нижний Новгород, всего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116,5/111,9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 w:rsidP="008D3BAF">
            <w:pPr>
              <w:suppressAutoHyphens/>
              <w:rPr>
                <w:iCs/>
              </w:rPr>
            </w:pPr>
            <w:r>
              <w:rPr>
                <w:iCs/>
              </w:rPr>
              <w:t>Обрабатывающие</w:t>
            </w:r>
            <w:r w:rsidR="008D3BAF">
              <w:rPr>
                <w:iCs/>
              </w:rPr>
              <w:t xml:space="preserve"> </w:t>
            </w:r>
            <w:r>
              <w:rPr>
                <w:iCs/>
              </w:rPr>
              <w:t xml:space="preserve">производства, в </w:t>
            </w:r>
            <w:proofErr w:type="spellStart"/>
            <w:r>
              <w:rPr>
                <w:iCs/>
              </w:rPr>
              <w:t>т.ч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108,8/105,3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lastRenderedPageBreak/>
              <w:t>производство автотранспортных средств, прицепов и полуприцепов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115,5/104,3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пищевых продуктов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112,1/109,6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готовых металлических изделий, кроме машин и оборудования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118,4/107,4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компьютеров, электронных и оптических изделий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98,1/81,7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напитков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99,1/92,9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прочих транспортных средств и оборудования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161,6/148,8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производство лекарственных средств и материалов, применяемых в медицинских целях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117,8/92,3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химических веществ и химических продуктов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</w:pPr>
            <w:r>
              <w:t>75,9/81,6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производство бумаги и бумажных изделий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74,2/84,8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110,6/99,4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126/123,2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Транспортировка и хранение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118,8/96,2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Строительство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146,3/143,2</w:t>
            </w:r>
          </w:p>
        </w:tc>
      </w:tr>
      <w:tr w:rsidR="00A27DF6" w:rsidTr="008D3BAF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iCs/>
              </w:rPr>
            </w:pPr>
            <w:r>
              <w:rPr>
                <w:iCs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133,0/127,8</w:t>
            </w:r>
          </w:p>
        </w:tc>
      </w:tr>
    </w:tbl>
    <w:p w:rsidR="00A27DF6" w:rsidRDefault="00A27DF6" w:rsidP="00A27DF6">
      <w:pPr>
        <w:suppressAutoHyphens/>
        <w:jc w:val="center"/>
        <w:rPr>
          <w:rFonts w:eastAsia="Calibri"/>
          <w:color w:val="000000"/>
        </w:rPr>
      </w:pPr>
    </w:p>
    <w:p w:rsidR="00A27DF6" w:rsidRDefault="00A27DF6" w:rsidP="00A27DF6">
      <w:pPr>
        <w:ind w:firstLine="851"/>
        <w:jc w:val="both"/>
        <w:rPr>
          <w:sz w:val="28"/>
        </w:rPr>
      </w:pPr>
      <w:r>
        <w:rPr>
          <w:sz w:val="28"/>
        </w:rPr>
        <w:t xml:space="preserve">К концу 2023 года оцениваемый объем продукции, отгруженной крупными, средними и малыми предприятиями, т.е. в целом по экономике, составит более 1 760,2 млрд. руб., что на 13,9% выше объема прошлого года в действующих ценах (в сопоставимых ценах – 108,2%). </w:t>
      </w:r>
    </w:p>
    <w:p w:rsidR="00A27DF6" w:rsidRDefault="00A27DF6" w:rsidP="00A27DF6">
      <w:pPr>
        <w:suppressAutoHyphens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Позитивная динамика развития будет обеспечена наращиванием внутреннего спроса на продукцию отечественного производства и переориентацией производителей на взаимодействие с дружественными и нейтральными странами. </w:t>
      </w:r>
      <w:r>
        <w:rPr>
          <w:sz w:val="28"/>
          <w:szCs w:val="28"/>
        </w:rPr>
        <w:t>В отраслевом разрезе рост в обрабатывающей промышленности ожидается за счет интенсивного увеличения выпуска продукции в автомобильной промышленности, производстве машин и оборудования, электрического оборудования, резиновых и пластмассовых изделий и пр.</w:t>
      </w:r>
    </w:p>
    <w:p w:rsidR="00A27DF6" w:rsidRDefault="00A27DF6" w:rsidP="00A27DF6">
      <w:pPr>
        <w:suppressAutoHyphens/>
        <w:ind w:firstLine="720"/>
        <w:jc w:val="both"/>
        <w:rPr>
          <w:sz w:val="28"/>
          <w:szCs w:val="24"/>
        </w:rPr>
      </w:pPr>
      <w:r>
        <w:rPr>
          <w:sz w:val="28"/>
          <w:szCs w:val="28"/>
        </w:rPr>
        <w:t xml:space="preserve">Несмотря на важную роль малого бизнеса, показатели развития экономики города по-прежнему обеспечиваются в основном за счет деятельности крупных и средних предприятий, доля которых в общем объеме отгруженной продукции всей экономики города в 2023 году ожидается на уровне 71,6%. </w:t>
      </w:r>
      <w:r>
        <w:rPr>
          <w:sz w:val="28"/>
        </w:rPr>
        <w:t xml:space="preserve">Объем продукции, отгруженной крупными и средними предприятиями, к концу года составит </w:t>
      </w:r>
      <w:r w:rsidR="008D3BAF">
        <w:rPr>
          <w:sz w:val="28"/>
          <w:szCs w:val="28"/>
        </w:rPr>
        <w:t>1</w:t>
      </w:r>
      <w:r>
        <w:rPr>
          <w:sz w:val="28"/>
          <w:szCs w:val="28"/>
        </w:rPr>
        <w:t xml:space="preserve">261,2 </w:t>
      </w:r>
      <w:r>
        <w:rPr>
          <w:sz w:val="28"/>
        </w:rPr>
        <w:t>млрд. рублей, что будет на 15% выше объема прошлого года (</w:t>
      </w:r>
      <w:r>
        <w:rPr>
          <w:sz w:val="28"/>
          <w:szCs w:val="28"/>
        </w:rPr>
        <w:t>в сопоставимых ценах – 109,3%</w:t>
      </w:r>
      <w:r>
        <w:rPr>
          <w:sz w:val="28"/>
        </w:rPr>
        <w:t xml:space="preserve">). </w:t>
      </w:r>
    </w:p>
    <w:p w:rsidR="00A27DF6" w:rsidRDefault="00A27DF6" w:rsidP="00A27DF6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оценочным данным доля продукции, произведенной малыми предприятиями, в общем объеме отгруженной продукции всей экономики города к концу 2023 году составит – 28,4%. </w:t>
      </w:r>
    </w:p>
    <w:p w:rsidR="00A27DF6" w:rsidRDefault="00A27DF6" w:rsidP="00A27DF6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в целях обеспечения устойчивости экономического развития на федеральном и региональном уровне продолжается реализация мероприятий, направленных на:</w:t>
      </w:r>
    </w:p>
    <w:p w:rsidR="00A27DF6" w:rsidRDefault="00A27DF6" w:rsidP="00A27DF6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бесперебойной работы предприятий, выстраивание новых логистических цепочек, поиск новых поставщиков и рынков сбыта произведенной продукции, обеспечение оборотными средствами (за счет поддержки системообразующих предприятий, расширения программ льготного кредитования, программ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 xml:space="preserve"> и т.д.);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«зеленого коридора» для импорта (за счет обнуления ввозных таможенных пошлин, снятия регуляторных ограничений и т.д.);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поддержку развития производства и стимулирования инноваций в промышленности, транспорте, информационных технологиях, строительстве и прочих секторах;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занятости (за счет предотвращения закрытия производств, реализации программ переобучения и пр.).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продолжается реализация региональных проектов «Адресная поддержка повышения производительности труда на предприятиях Нижегородской области», «Системные меры по повышению производительности труда в Нижегородской области» в рамках национального проекта «Производительность труда». 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реализуемых мер поддержки промышленных предприятий Правительством Нижегородской области был создан Центр импорта и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 xml:space="preserve"> (далее – Центр). Задача Центра - поиск российских поставщиков необходимой продукции, проработка маршрутов поставки иностранной продукции, организация новых производств на базе предприятий, выпускающих схожую продукцию. Центром создана информационная платформа, позволяющая предприятиям самостоятельно находить потенциальных заказчиков и исполнителей по </w:t>
      </w:r>
      <w:proofErr w:type="spellStart"/>
      <w:r>
        <w:rPr>
          <w:sz w:val="28"/>
          <w:szCs w:val="28"/>
        </w:rPr>
        <w:t>импортозаменяемым</w:t>
      </w:r>
      <w:proofErr w:type="spellEnd"/>
      <w:r>
        <w:rPr>
          <w:sz w:val="28"/>
          <w:szCs w:val="28"/>
        </w:rPr>
        <w:t xml:space="preserve"> продуктам «</w:t>
      </w:r>
      <w:proofErr w:type="spellStart"/>
      <w:r>
        <w:rPr>
          <w:sz w:val="28"/>
          <w:szCs w:val="28"/>
        </w:rPr>
        <w:t>Станкофонд</w:t>
      </w:r>
      <w:proofErr w:type="spellEnd"/>
      <w:r>
        <w:rPr>
          <w:sz w:val="28"/>
          <w:szCs w:val="28"/>
        </w:rPr>
        <w:t>».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поиска возможных поставщиков Центр взаимодействует с федеральными и региональными органами власти, Торгово-промышленной палатой, ассоциациями промышленных предприятий субъектов Российской Федерации, торговыми представительствами и представительствами Российского экспортного центра за рубежом. </w:t>
      </w:r>
    </w:p>
    <w:p w:rsidR="00A27DF6" w:rsidRDefault="00A27DF6" w:rsidP="00A27DF6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настоящее время Центр взаимодействует с 640 предприятиями. Активно развиваются высокотехнологичные направления - установлены взаимоотношения с крупными партнерами в Индии и Китае по направлениям производства электроники, машиностроения, фармацевтики и др.</w:t>
      </w:r>
    </w:p>
    <w:p w:rsidR="00A27DF6" w:rsidRDefault="00A27DF6" w:rsidP="00A27DF6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Кроме того, для развития сферы беспилотных авиационных систем Правительство Нижегородской области совместно с АО «Научно-производственное предприятие «Радар </w:t>
      </w:r>
      <w:proofErr w:type="spellStart"/>
      <w:r>
        <w:rPr>
          <w:iCs/>
          <w:sz w:val="28"/>
          <w:szCs w:val="28"/>
        </w:rPr>
        <w:t>ммс</w:t>
      </w:r>
      <w:proofErr w:type="spellEnd"/>
      <w:r>
        <w:rPr>
          <w:iCs/>
          <w:sz w:val="28"/>
          <w:szCs w:val="28"/>
        </w:rPr>
        <w:t>» и АО «Центральное конструкторское бюро по судам на подводных крыльях имени Р.Е. Алексеева» подписали соглашение о создании в Нижнем Новгороде научно-производственного центра беспилотных авиационных систем (НПЦ БАС).</w:t>
      </w:r>
    </w:p>
    <w:p w:rsidR="00A27DF6" w:rsidRDefault="00A27DF6" w:rsidP="00A27DF6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соответствии с разработанной концепцией НПЦ БАС сосредоточится на трех основных направлениях: это автоматизация авиационных систем, выпуск стандартизированных комплектующих для беспилотных воздушных судов и подготовка кадров в отрасли.</w:t>
      </w:r>
    </w:p>
    <w:p w:rsidR="00A27DF6" w:rsidRDefault="00A27DF6" w:rsidP="00A27DF6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Автоматизация авиационных систем необходима для минимизации участия человека в управлении и обслуживании БАС, полной автоматизации </w:t>
      </w:r>
      <w:proofErr w:type="spellStart"/>
      <w:r>
        <w:rPr>
          <w:iCs/>
          <w:sz w:val="28"/>
          <w:szCs w:val="28"/>
        </w:rPr>
        <w:t>аэрологистики</w:t>
      </w:r>
      <w:proofErr w:type="spellEnd"/>
      <w:r>
        <w:rPr>
          <w:iCs/>
          <w:sz w:val="28"/>
          <w:szCs w:val="28"/>
        </w:rPr>
        <w:t>, мониторинга инфраструктуры и поисково-спасательных операций.</w:t>
      </w:r>
    </w:p>
    <w:p w:rsidR="00A27DF6" w:rsidRDefault="00A27DF6" w:rsidP="00A27DF6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A27DF6" w:rsidRDefault="00A27DF6" w:rsidP="008D3BAF">
      <w:pPr>
        <w:numPr>
          <w:ilvl w:val="2"/>
          <w:numId w:val="26"/>
        </w:numPr>
        <w:suppressAutoHyphens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Основные тенденции развития экономики города в 2024-2026 годы</w:t>
      </w:r>
    </w:p>
    <w:p w:rsidR="00A27DF6" w:rsidRDefault="00A27DF6" w:rsidP="00A27DF6">
      <w:pPr>
        <w:suppressAutoHyphens/>
        <w:ind w:left="709"/>
        <w:jc w:val="both"/>
        <w:rPr>
          <w:sz w:val="28"/>
          <w:szCs w:val="28"/>
        </w:rPr>
      </w:pPr>
    </w:p>
    <w:p w:rsidR="00A27DF6" w:rsidRDefault="00A27DF6" w:rsidP="00A27DF6">
      <w:pPr>
        <w:pStyle w:val="af7"/>
        <w:widowControl w:val="0"/>
        <w:ind w:left="0" w:firstLine="709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val="x-none" w:eastAsia="x-none"/>
        </w:rPr>
        <w:t xml:space="preserve">Динамика промышленного производства в прогнозном периоде будет определяться расширением внутреннего спроса, развитием </w:t>
      </w:r>
      <w:proofErr w:type="spellStart"/>
      <w:r>
        <w:rPr>
          <w:sz w:val="28"/>
          <w:szCs w:val="28"/>
          <w:lang w:val="x-none" w:eastAsia="x-none"/>
        </w:rPr>
        <w:t>импортозамещения</w:t>
      </w:r>
      <w:proofErr w:type="spellEnd"/>
      <w:r>
        <w:rPr>
          <w:sz w:val="28"/>
          <w:szCs w:val="28"/>
          <w:lang w:val="x-none" w:eastAsia="x-none"/>
        </w:rPr>
        <w:t xml:space="preserve">, скоростью выхода на новые рынки сбыта продукции. </w:t>
      </w:r>
      <w:r>
        <w:rPr>
          <w:sz w:val="28"/>
          <w:szCs w:val="28"/>
          <w:lang w:eastAsia="x-none"/>
        </w:rPr>
        <w:t>Нижегородские п</w:t>
      </w:r>
      <w:proofErr w:type="spellStart"/>
      <w:r>
        <w:rPr>
          <w:sz w:val="28"/>
          <w:szCs w:val="28"/>
          <w:lang w:val="x-none" w:eastAsia="x-none"/>
        </w:rPr>
        <w:t>редприятия</w:t>
      </w:r>
      <w:proofErr w:type="spellEnd"/>
      <w:r>
        <w:rPr>
          <w:sz w:val="28"/>
          <w:szCs w:val="28"/>
          <w:lang w:val="x-none" w:eastAsia="x-none"/>
        </w:rPr>
        <w:t xml:space="preserve"> подтверждают свои намерения о продолжении реализации инвестиционных </w:t>
      </w:r>
      <w:r>
        <w:rPr>
          <w:sz w:val="28"/>
          <w:szCs w:val="28"/>
          <w:lang w:val="x-none" w:eastAsia="x-none"/>
        </w:rPr>
        <w:lastRenderedPageBreak/>
        <w:t>проектов, создании новых и модернизации линеек уже выпускаемых продуктов.</w:t>
      </w:r>
      <w:r>
        <w:rPr>
          <w:sz w:val="28"/>
          <w:szCs w:val="28"/>
          <w:lang w:eastAsia="x-none"/>
        </w:rPr>
        <w:t xml:space="preserve"> </w:t>
      </w:r>
      <w:r>
        <w:rPr>
          <w:bCs/>
          <w:iCs/>
          <w:sz w:val="28"/>
          <w:szCs w:val="28"/>
          <w:lang w:val="x-none" w:eastAsia="x-none"/>
        </w:rPr>
        <w:t>Ряд предприятий города, обладая значительным инновационным и инвестиционным потенциалом, способны в прогнозируемом периоде разрабатывать, модернизировать и производить новейшую продукцию, внедрять новые технологические идеи для высокотехнологичных секторов экономики, налаживать новые экономические связи.</w:t>
      </w:r>
      <w:r>
        <w:rPr>
          <w:sz w:val="28"/>
          <w:szCs w:val="28"/>
          <w:lang w:val="x-none" w:eastAsia="x-none"/>
        </w:rPr>
        <w:t xml:space="preserve">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Согласно прогнозу, величина отгруженной продукции крупными, средними и малыми предприятиями в 2024 году составит около 1 893 млрд. рублей (темп роста в </w:t>
      </w:r>
      <w:r>
        <w:rPr>
          <w:sz w:val="28"/>
          <w:szCs w:val="28"/>
        </w:rPr>
        <w:t>сопоставимых ценах – 102,5%</w:t>
      </w:r>
      <w:r>
        <w:rPr>
          <w:sz w:val="28"/>
        </w:rPr>
        <w:t xml:space="preserve">), </w:t>
      </w:r>
      <w:r>
        <w:rPr>
          <w:sz w:val="28"/>
          <w:szCs w:val="28"/>
        </w:rPr>
        <w:t xml:space="preserve">в 2025-2026 гг. рост </w:t>
      </w:r>
      <w:r>
        <w:rPr>
          <w:sz w:val="28"/>
        </w:rPr>
        <w:t xml:space="preserve">в </w:t>
      </w:r>
      <w:r>
        <w:rPr>
          <w:sz w:val="28"/>
          <w:szCs w:val="28"/>
        </w:rPr>
        <w:t xml:space="preserve">сопоставимых ценах прогнозируется на уровне 102,7%-103,0%. </w:t>
      </w:r>
    </w:p>
    <w:p w:rsidR="00A27DF6" w:rsidRDefault="00A27DF6" w:rsidP="00A27DF6">
      <w:pPr>
        <w:suppressAutoHyphens/>
        <w:ind w:firstLine="709"/>
        <w:jc w:val="both"/>
        <w:rPr>
          <w:sz w:val="28"/>
        </w:rPr>
      </w:pPr>
      <w:r>
        <w:rPr>
          <w:sz w:val="28"/>
        </w:rPr>
        <w:t>Прогнозируемая на 2024 год величина отгруженной продукции крупными и средними предприятиями составит около 1 356,6 млрд. рублей, темп роста в сопоставимых ценах – 102,5%.</w:t>
      </w:r>
    </w:p>
    <w:p w:rsidR="00BE69B2" w:rsidRDefault="00BE69B2" w:rsidP="00A27DF6">
      <w:pPr>
        <w:suppressAutoHyphens/>
        <w:ind w:firstLine="709"/>
        <w:jc w:val="both"/>
        <w:rPr>
          <w:sz w:val="28"/>
        </w:rPr>
      </w:pPr>
    </w:p>
    <w:p w:rsidR="00BE69B2" w:rsidRDefault="00BE69B2" w:rsidP="00BE69B2">
      <w:pPr>
        <w:suppressAutoHyphens/>
        <w:ind w:firstLine="426"/>
        <w:jc w:val="both"/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001120D1" wp14:editId="2C249285">
            <wp:extent cx="5564340" cy="2902226"/>
            <wp:effectExtent l="0" t="0" r="0" b="0"/>
            <wp:docPr id="16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5774" t="-5219" r="-8401" b="-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32" cy="291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Наибольшая доля в </w:t>
      </w:r>
      <w:r>
        <w:rPr>
          <w:sz w:val="28"/>
        </w:rPr>
        <w:t xml:space="preserve">объеме отгрузки </w:t>
      </w:r>
      <w:r>
        <w:rPr>
          <w:sz w:val="28"/>
          <w:szCs w:val="28"/>
        </w:rPr>
        <w:t>в 2024-2026 гг. по крупным и средним предприятиям будет приходиться на «обрабатывающие производства». В прогнозируемом периоде ожидается увеличение доли данного сектора до 47,3%. Также, увеличение доли планируется в секторах «обеспечение электрической энергией, газом, паром, кондиционирование воздуха» - до 6,3% и «транспортировка и хранение» - до 18,1%.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Прогнозируется снижение доли сектора «водоснабжение, водоотведение, организация сбора и утилизация отходов» в общем объеме отгруженной продукции по крупным и средним предприятиям к концу прогнозного периода - до 1,4%.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Сохранится на уровне 2024 года удельный вес следующих видов экономической деятельности: «строительство» (2,6%), «торговля оптовая и розничная, ремонт автотранспортных средств и мотоциклов» (1,0%).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концу 2026 года объем отгруженной продукции малыми предприятиями прогнозируется на уровне 615,6 млрд. руб., доля малых предприятий к концу прогнозного периода сохранится на уровне текущего года - 28,4%.</w:t>
      </w:r>
    </w:p>
    <w:p w:rsidR="00A27DF6" w:rsidRDefault="00A27DF6" w:rsidP="00A27DF6">
      <w:pPr>
        <w:suppressAutoHyphens/>
        <w:ind w:firstLine="709"/>
        <w:jc w:val="center"/>
        <w:rPr>
          <w:sz w:val="28"/>
          <w:szCs w:val="28"/>
        </w:rPr>
      </w:pPr>
    </w:p>
    <w:p w:rsidR="00A27DF6" w:rsidRDefault="00A27DF6" w:rsidP="00A27DF6">
      <w:pPr>
        <w:suppressAutoHyphens/>
        <w:jc w:val="center"/>
        <w:rPr>
          <w:sz w:val="28"/>
          <w:szCs w:val="28"/>
        </w:rPr>
      </w:pPr>
      <w:r>
        <w:rPr>
          <w:rFonts w:eastAsia="Calibri"/>
          <w:noProof/>
          <w:color w:val="000000"/>
          <w:sz w:val="24"/>
          <w:szCs w:val="24"/>
        </w:rPr>
        <w:object w:dxaOrig="9015" w:dyaOrig="3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50.8pt;height:173.45pt;visibility:visible" o:ole="">
            <v:imagedata r:id="rId9" o:title="" croptop="-4715f" cropbottom="-3669f" cropleft="-7384f" cropright="-6800f"/>
            <o:lock v:ext="edit" aspectratio="f"/>
          </v:shape>
          <o:OLEObject Type="Embed" ProgID="Excel.Sheet.8" ShapeID="Диаграмма 2" DrawAspect="Content" ObjectID="_1760508490" r:id="rId10">
            <o:FieldCodes>\s</o:FieldCodes>
          </o:OLEObject>
        </w:object>
      </w:r>
    </w:p>
    <w:p w:rsidR="00A27DF6" w:rsidRDefault="00A27DF6" w:rsidP="00A27DF6">
      <w:pPr>
        <w:jc w:val="center"/>
        <w:rPr>
          <w:sz w:val="24"/>
          <w:szCs w:val="24"/>
        </w:rPr>
      </w:pPr>
    </w:p>
    <w:p w:rsidR="00A27DF6" w:rsidRDefault="00A27DF6" w:rsidP="00A27DF6">
      <w:pPr>
        <w:jc w:val="center"/>
      </w:pPr>
      <w:r>
        <w:t>Отгрузка товаров собственного производства, выполнения работ, услуг</w:t>
      </w:r>
    </w:p>
    <w:p w:rsidR="00A27DF6" w:rsidRDefault="00A27DF6" w:rsidP="00A27DF6">
      <w:pPr>
        <w:suppressAutoHyphens/>
        <w:jc w:val="center"/>
        <w:rPr>
          <w:szCs w:val="16"/>
        </w:rPr>
      </w:pPr>
      <w:r>
        <w:rPr>
          <w:szCs w:val="16"/>
        </w:rPr>
        <w:t>собственными силами крупными и средними предприятиями</w:t>
      </w:r>
    </w:p>
    <w:p w:rsidR="00A27DF6" w:rsidRDefault="00A27DF6" w:rsidP="00A27DF6">
      <w:pPr>
        <w:suppressAutoHyphens/>
        <w:jc w:val="center"/>
        <w:rPr>
          <w:szCs w:val="16"/>
        </w:rPr>
      </w:pPr>
      <w:r>
        <w:rPr>
          <w:szCs w:val="16"/>
        </w:rPr>
        <w:t xml:space="preserve">города Нижнего Новгорода в 2022-2024 </w:t>
      </w:r>
      <w:proofErr w:type="spellStart"/>
      <w:r>
        <w:rPr>
          <w:szCs w:val="16"/>
        </w:rPr>
        <w:t>г.г</w:t>
      </w:r>
      <w:proofErr w:type="spellEnd"/>
      <w:r>
        <w:rPr>
          <w:szCs w:val="16"/>
        </w:rPr>
        <w:t>.</w:t>
      </w:r>
    </w:p>
    <w:p w:rsidR="00A27DF6" w:rsidRDefault="00A27DF6" w:rsidP="00A27DF6">
      <w:pPr>
        <w:suppressAutoHyphens/>
        <w:spacing w:after="120"/>
        <w:ind w:left="283"/>
        <w:jc w:val="right"/>
        <w:rPr>
          <w:szCs w:val="24"/>
        </w:rPr>
      </w:pPr>
      <w:r>
        <w:t>(млн. руб.)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0"/>
        <w:gridCol w:w="1333"/>
        <w:gridCol w:w="1203"/>
        <w:gridCol w:w="1307"/>
        <w:gridCol w:w="1985"/>
      </w:tblGrid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spacing w:after="120"/>
              <w:ind w:left="283"/>
              <w:jc w:val="center"/>
            </w:pPr>
            <w:r>
              <w:t>Виды деятельности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отчет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прогноз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Темп роста 2024/2023, %</w:t>
            </w:r>
          </w:p>
          <w:p w:rsidR="00A27DF6" w:rsidRDefault="00A27DF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(действ./</w:t>
            </w:r>
            <w:proofErr w:type="spellStart"/>
            <w:r>
              <w:rPr>
                <w:sz w:val="22"/>
                <w:szCs w:val="22"/>
                <w:lang w:eastAsia="en-US"/>
              </w:rPr>
              <w:t>сопост</w:t>
            </w:r>
            <w:proofErr w:type="spellEnd"/>
            <w:r>
              <w:rPr>
                <w:sz w:val="22"/>
                <w:szCs w:val="22"/>
                <w:lang w:eastAsia="en-US"/>
              </w:rPr>
              <w:t>.)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sz w:val="22"/>
                <w:szCs w:val="24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</w:rPr>
            </w:pPr>
            <w:r>
              <w:t>1 096 366,7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1 261 156,2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1 356 552,3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107,6/102,5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sz w:val="22"/>
              </w:rPr>
            </w:pPr>
            <w:r>
              <w:rPr>
                <w:sz w:val="22"/>
              </w:rPr>
              <w:t>Сельское, лесное хозяйство, охота, рыболовство и рыбоводство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</w:rPr>
            </w:pPr>
            <w:r>
              <w:t>980,7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1 093,5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1 167,8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106,8/102,1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sz w:val="22"/>
              </w:rPr>
            </w:pPr>
            <w:r>
              <w:rPr>
                <w:sz w:val="22"/>
              </w:rPr>
              <w:t>Добыча полезных ископаемых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</w:rPr>
            </w:pPr>
            <w:r>
              <w:t>318,7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238,2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251,5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105,6/102,5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rPr>
                <w:sz w:val="22"/>
              </w:rPr>
            </w:pPr>
            <w:r>
              <w:rPr>
                <w:sz w:val="22"/>
              </w:rPr>
              <w:t>Обрабатывающие производства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</w:rPr>
            </w:pPr>
            <w:r>
              <w:t>522 384,1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591 647,5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637 615,8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107,8/102,9</w:t>
            </w:r>
          </w:p>
        </w:tc>
      </w:tr>
      <w:tr w:rsidR="00A27DF6" w:rsidTr="00DF5B9B">
        <w:trPr>
          <w:trHeight w:val="303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в том числе по подразделам:</w:t>
            </w:r>
          </w:p>
          <w:p w:rsidR="00A27DF6" w:rsidRDefault="00A27DF6">
            <w:pPr>
              <w:suppressAutoHyphens/>
            </w:pPr>
            <w:r>
              <w:t>производство пищевых продуктов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46 085,7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49 151,0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51 544,0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104,9/100,8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</w:pPr>
            <w:r>
              <w:t>производство напитков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26 692,7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26 168,9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28 007,4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107/102,9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текстильных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692,0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872,4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933,6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одежды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1 893,7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1 875,6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2 007,1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бумаги и бумажных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31 079,8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25 612,6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27 382,6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106,9/102,7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деятельность полиграфическая и копирование носителей информации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1 196,0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1 157,0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1 244,0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107,5/102,7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химических веществ и химических продуктов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28 851,7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28 346,3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30 712,7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108,3/102,7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лекарственных средств и материалов, применяемых в медицинских целях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22 325,6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25 442,0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27 566,0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108,3/102,7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резиновых и пластмассовых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2 597,1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3 408,2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4 260,3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125/118,5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прочей неметаллической минеральной продукции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9 712,6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10 647,8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10 834,4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101,8/97,7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металлургическое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9 101,1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9 874,9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10 496,5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106,3/102,7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готовых металлических изделий, кроме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65 972,7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82 844,3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88 909,8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107,3/102,7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компьютеров, электронных и оптических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47 046,1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50 810,0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55 208,4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108,7/102,7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электрического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5 030,9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7 643,6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8 305,3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108,7/102,7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машин и оборудования, не включенных в другие группировки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9 932,7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15 382,7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16 714,3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108,7/102,7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автотранспортных средств, прицепов и полуприцепов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172 284,4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206 271,8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222 547,6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107,9/102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прочих транспортных средств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24 841,3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29 239,1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32 747,8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112/105,9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r>
              <w:t>производство прочих готовых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692,3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496,7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537,6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108,2/102,7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lang w:eastAsia="en-US"/>
              </w:rPr>
            </w:pPr>
            <w:r>
              <w:rPr>
                <w:lang w:eastAsia="en-US"/>
              </w:rPr>
              <w:t>ремонт и монтаж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10 537,8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10 785,0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11 596,8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107,5/102,7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lang w:eastAsia="en-US"/>
              </w:rPr>
            </w:pPr>
            <w:r>
              <w:rPr>
                <w:lang w:eastAsia="en-US"/>
              </w:rPr>
              <w:t>прочие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5 817,9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5 617,7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6 059,5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107,9/103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электрич</w:t>
            </w:r>
            <w:proofErr w:type="spellEnd"/>
            <w:r>
              <w:rPr>
                <w:sz w:val="22"/>
                <w:szCs w:val="22"/>
                <w:lang w:eastAsia="en-US"/>
              </w:rPr>
              <w:t>. энергией, газом, паром, кондиционирование воздуха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  <w:szCs w:val="24"/>
              </w:rPr>
            </w:pPr>
            <w:r>
              <w:t>72 124,3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79 226,6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84 699,1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106,9/102,5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Водоснабжение, водоотведение, организация сбора и утилизация отходов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  <w:szCs w:val="24"/>
              </w:rPr>
            </w:pPr>
            <w:r>
              <w:t>16 151,2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19 208,4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20 098,2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104,6/100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  <w:szCs w:val="24"/>
              </w:rPr>
            </w:pPr>
            <w:r>
              <w:t>24 018,6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32 977,9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35 287,5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107/102,2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  <w:szCs w:val="24"/>
              </w:rPr>
            </w:pPr>
            <w:r>
              <w:t>11 196,8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12 078,2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13 050,1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108/103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Транспортировка и хранение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4"/>
                <w:szCs w:val="24"/>
              </w:rPr>
            </w:pPr>
            <w:r>
              <w:t>193 311,7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222 799,5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241 646,1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</w:pPr>
            <w:r>
              <w:t>108,5/103</w:t>
            </w:r>
          </w:p>
        </w:tc>
      </w:tr>
    </w:tbl>
    <w:p w:rsidR="00A27DF6" w:rsidRDefault="00A27DF6" w:rsidP="00A27DF6">
      <w:pPr>
        <w:suppressAutoHyphens/>
        <w:jc w:val="center"/>
        <w:rPr>
          <w:rFonts w:eastAsia="Calibri"/>
          <w:color w:val="000000"/>
          <w:sz w:val="28"/>
          <w:szCs w:val="28"/>
        </w:rPr>
      </w:pPr>
    </w:p>
    <w:p w:rsidR="00A27DF6" w:rsidRDefault="00A27DF6" w:rsidP="00DF5B9B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Обрабатывающие производства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Ведущая роль в промышленном производстве города в прогнозном периоде по-прежнему будет принадлежать обрабатывающим производствам, на долю которых будет приходиться порядка 87% объема отгруженной продукции.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ожидаемый объем отгрузки крупных и средних предприятий обрабатывающих производств составит около 591,6</w:t>
      </w:r>
      <w:r>
        <w:t xml:space="preserve"> </w:t>
      </w:r>
      <w:r>
        <w:rPr>
          <w:sz w:val="28"/>
          <w:szCs w:val="28"/>
        </w:rPr>
        <w:t xml:space="preserve">млрд. руб. (в сопоставимых ценах – 107,7%). Прогнозный объем отгрузки на 2024 год - около 637,6 млрд. рублей, что на 7,8 % выше, чем в 2023 году в действующих ценах (в сопоставимых ценах – 102,9%). 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обрабатывающих производств к концу прогнозного периода ожидается увеличение доли в следующих отраслях: «производстве автотранспортных средств, прицепов и полуприцепов» - до 35,3%; «производстве готовых металлических изделий» - до 14,1%; «производстве компьютеров, электронных и оптических изделий» - до 8,8%; «производстве прочих транспортных средств и оборудования» - до 5,2%, а также «производстве машин и оборудования» - до 2,7%.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Снижение доли прогнозируется в «производстве пищевых продуктов» - до 7,6% и в «производстве бумаги и бумажных изделий» - до 4,2%.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Сохранится на уровне 2023 года удельный вес в отраслях: «производство химических веществ и химических продуктов» (4,8%); «производство напитков» (4,4%); производство лекарственных средств и материалов (4,3%).</w:t>
      </w:r>
    </w:p>
    <w:p w:rsidR="008F15F8" w:rsidRDefault="008F15F8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DF5B9B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Структура обрабатывающих производств в 2023 и 2026 гг., %</w:t>
      </w:r>
    </w:p>
    <w:p w:rsidR="00A27DF6" w:rsidRDefault="00A27DF6" w:rsidP="00A27DF6">
      <w:pPr>
        <w:suppressAutoHyphens/>
        <w:ind w:firstLine="709"/>
        <w:jc w:val="both"/>
        <w:rPr>
          <w:sz w:val="24"/>
          <w:szCs w:val="24"/>
        </w:rPr>
      </w:pPr>
      <w:r>
        <w:fldChar w:fldCharType="begin"/>
      </w:r>
      <w:r>
        <w:instrText xml:space="preserve"> LINK Excel.Sheet.12 "C:\\Мои документы\\Прогноз соц-эк развития по годам\\Прогноз соц-эк развития 2024\\СЭД\\Прогноз_2023\\Предварительный прогноз 2024-2026 (предварительный).xlsx" "Расчетный лист (2023)!R132C1:R142C1" \a \f 4 \h  \* MERGEFORMAT </w:instrText>
      </w:r>
      <w:r>
        <w:fldChar w:fldCharType="separate"/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4673"/>
        <w:gridCol w:w="2693"/>
        <w:gridCol w:w="2410"/>
      </w:tblGrid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7DF6" w:rsidRDefault="00A27DF6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 год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автотранспортных средств, прицепов и полуприцепов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35,3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готовых металлических изделий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</w:t>
            </w:r>
          </w:p>
        </w:tc>
      </w:tr>
      <w:tr w:rsidR="00A27DF6" w:rsidTr="008F15F8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компьютеров, электронных и оптических изделий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</w:tr>
      <w:tr w:rsidR="00A27DF6" w:rsidTr="008F15F8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пищевых продуктов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прочих транспортных средств и оборудования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</w:tr>
      <w:tr w:rsidR="00A27DF6" w:rsidTr="00A30501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химических веществ и химических продуктов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</w:tr>
      <w:tr w:rsidR="00A27DF6" w:rsidTr="00A30501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напитков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бумаги и бумажных изделий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лекарственных средств и материалов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машин и оборудования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</w:p>
        </w:tc>
      </w:tr>
      <w:tr w:rsidR="00A27DF6" w:rsidTr="00DF5B9B">
        <w:trPr>
          <w:trHeight w:val="20"/>
          <w:jc w:val="center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</w:t>
            </w:r>
          </w:p>
        </w:tc>
      </w:tr>
    </w:tbl>
    <w:p w:rsidR="00A27DF6" w:rsidRDefault="00A27DF6" w:rsidP="00A27DF6">
      <w:pPr>
        <w:suppressAutoHyphens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производстве автотранспортных средств, прицепов и полуприцепов объем отгруженных товаров собственного производства, выполненных работ и услуг по </w:t>
      </w:r>
      <w:r>
        <w:rPr>
          <w:rFonts w:ascii="Times New Roman" w:hAnsi="Times New Roman"/>
          <w:sz w:val="28"/>
          <w:szCs w:val="28"/>
        </w:rPr>
        <w:lastRenderedPageBreak/>
        <w:t xml:space="preserve">крупным и средним предприятиям </w:t>
      </w:r>
      <w:r>
        <w:rPr>
          <w:rFonts w:ascii="Times New Roman" w:hAnsi="Times New Roman"/>
          <w:bCs/>
          <w:sz w:val="28"/>
          <w:szCs w:val="28"/>
        </w:rPr>
        <w:t xml:space="preserve">по оценке </w:t>
      </w:r>
      <w:r>
        <w:rPr>
          <w:rFonts w:ascii="Times New Roman" w:hAnsi="Times New Roman"/>
          <w:sz w:val="28"/>
          <w:szCs w:val="28"/>
        </w:rPr>
        <w:t>2023 года составит – 206,3 млрд. рублей (в сопоставимых ценах - 104,1</w:t>
      </w:r>
      <w:r>
        <w:rPr>
          <w:rFonts w:ascii="Times New Roman" w:hAnsi="Times New Roman"/>
          <w:bCs/>
          <w:sz w:val="28"/>
          <w:szCs w:val="28"/>
        </w:rPr>
        <w:t xml:space="preserve">%). В 2024 году этот показатель увеличится до 222,5 млрд. рублей, т.е. на </w:t>
      </w:r>
      <w:r>
        <w:rPr>
          <w:rFonts w:ascii="Times New Roman" w:hAnsi="Times New Roman"/>
          <w:sz w:val="28"/>
          <w:szCs w:val="28"/>
        </w:rPr>
        <w:t>7,9%</w:t>
      </w:r>
      <w:r>
        <w:rPr>
          <w:rFonts w:ascii="Times New Roman" w:hAnsi="Times New Roman"/>
          <w:bCs/>
          <w:sz w:val="28"/>
          <w:szCs w:val="28"/>
        </w:rPr>
        <w:t xml:space="preserve"> в действующих ценах (в сопоставимых ценах - </w:t>
      </w:r>
      <w:r w:rsidR="00A30501">
        <w:rPr>
          <w:rFonts w:ascii="Times New Roman" w:hAnsi="Times New Roman"/>
          <w:bCs/>
          <w:sz w:val="28"/>
          <w:szCs w:val="28"/>
        </w:rPr>
        <w:t xml:space="preserve">                   </w:t>
      </w:r>
      <w:r>
        <w:rPr>
          <w:rFonts w:ascii="Times New Roman" w:hAnsi="Times New Roman"/>
          <w:bCs/>
          <w:sz w:val="28"/>
          <w:szCs w:val="28"/>
        </w:rPr>
        <w:t>на 2%).</w:t>
      </w:r>
    </w:p>
    <w:p w:rsidR="00A27DF6" w:rsidRDefault="00A27DF6" w:rsidP="00A27DF6">
      <w:pPr>
        <w:tabs>
          <w:tab w:val="num" w:pos="720"/>
        </w:tabs>
        <w:suppressAutoHyphens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Динамика объемов производства автотранспортных средств, прицепов и полуприцепов в значительной степени зависит от объемов заказов крупнейшего производителя коммерческого транспорта России - «Группы ГАЗ».</w:t>
      </w:r>
      <w:r>
        <w:rPr>
          <w:sz w:val="28"/>
          <w:szCs w:val="28"/>
          <w:shd w:val="clear" w:color="auto" w:fill="FFFFFF"/>
        </w:rPr>
        <w:t xml:space="preserve"> Доля продукции предприятия занимает основную долю в данном виде деятельности. На территории Нижнего Новгорода расположены 4 производственных предприятия: ООО «Автозавод «ГАЗ», ПАО «ГАЗ», ООО «Нижегородские моторы», а также ООО «Нижегородский литейный завод», открытый в 2021 году.</w:t>
      </w:r>
    </w:p>
    <w:p w:rsidR="00A27DF6" w:rsidRDefault="00A27DF6" w:rsidP="00A27DF6">
      <w:pPr>
        <w:tabs>
          <w:tab w:val="num" w:pos="720"/>
        </w:tabs>
        <w:suppressAutoHyphens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Введение экономических санкций оказало существенное негативное влияние на деятельность компании, что выразилось в сокращении продаж автомобильной техники в 2022 году в России и в СНГ, а также привело к остановке работы сборочной площадки </w:t>
      </w:r>
      <w:proofErr w:type="spellStart"/>
      <w:r>
        <w:rPr>
          <w:sz w:val="28"/>
          <w:szCs w:val="28"/>
          <w:shd w:val="clear" w:color="auto" w:fill="FFFFFF"/>
        </w:rPr>
        <w:t>Skoda</w:t>
      </w:r>
      <w:proofErr w:type="spellEnd"/>
      <w:r>
        <w:rPr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sz w:val="28"/>
          <w:szCs w:val="28"/>
          <w:shd w:val="clear" w:color="auto" w:fill="FFFFFF"/>
        </w:rPr>
        <w:t>Volkswagen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Несмотря на это, предприятиям Группы ГАЗ удалось полностью переориентировать свои логистические цепочки в сторону партнёров из Восточноазиатского региона. </w:t>
      </w:r>
      <w:r>
        <w:rPr>
          <w:sz w:val="28"/>
          <w:szCs w:val="28"/>
        </w:rPr>
        <w:t>В прогнозном периоде «Группа ГАЗ» планирует увеличение объема производства в среднем на 8,1 – 13,1%. Ожидаемый объем инвестиций в основной капитал по предприятию в 2024-2026 гг. составит порядка 24 млрд. рублей.</w:t>
      </w:r>
    </w:p>
    <w:p w:rsidR="00A27DF6" w:rsidRDefault="00A27DF6" w:rsidP="00A27DF6">
      <w:pPr>
        <w:pStyle w:val="af7"/>
        <w:widowControl w:val="0"/>
        <w:ind w:left="0" w:firstLine="709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x-none"/>
        </w:rPr>
        <w:t>Предприятием</w:t>
      </w:r>
      <w:r>
        <w:rPr>
          <w:sz w:val="28"/>
          <w:szCs w:val="28"/>
          <w:lang w:val="x-none" w:eastAsia="x-none"/>
        </w:rPr>
        <w:t xml:space="preserve"> планируется:</w:t>
      </w:r>
    </w:p>
    <w:p w:rsidR="00A27DF6" w:rsidRDefault="00A27DF6" w:rsidP="00A27DF6">
      <w:pPr>
        <w:pStyle w:val="af7"/>
        <w:widowControl w:val="0"/>
        <w:ind w:left="0" w:firstLine="709"/>
        <w:jc w:val="both"/>
        <w:rPr>
          <w:iCs/>
          <w:sz w:val="28"/>
          <w:szCs w:val="28"/>
          <w:lang w:eastAsia="x-none"/>
        </w:rPr>
      </w:pPr>
      <w:r>
        <w:rPr>
          <w:iCs/>
          <w:sz w:val="28"/>
          <w:szCs w:val="28"/>
          <w:lang w:eastAsia="x-none"/>
        </w:rPr>
        <w:t>р</w:t>
      </w:r>
      <w:proofErr w:type="spellStart"/>
      <w:r w:rsidR="00DF5B9B">
        <w:rPr>
          <w:iCs/>
          <w:sz w:val="28"/>
          <w:szCs w:val="28"/>
          <w:lang w:val="x-none" w:eastAsia="x-none"/>
        </w:rPr>
        <w:t>азвитие</w:t>
      </w:r>
      <w:proofErr w:type="spellEnd"/>
      <w:r w:rsidR="00DF5B9B">
        <w:rPr>
          <w:iCs/>
          <w:sz w:val="28"/>
          <w:szCs w:val="28"/>
          <w:lang w:val="x-none" w:eastAsia="x-none"/>
        </w:rPr>
        <w:t xml:space="preserve"> модельного </w:t>
      </w:r>
      <w:proofErr w:type="gramStart"/>
      <w:r w:rsidR="00DF5B9B">
        <w:rPr>
          <w:iCs/>
          <w:sz w:val="28"/>
          <w:szCs w:val="28"/>
          <w:lang w:val="x-none" w:eastAsia="x-none"/>
        </w:rPr>
        <w:t>ряда</w:t>
      </w:r>
      <w:proofErr w:type="gramEnd"/>
      <w:r w:rsidR="00DF5B9B">
        <w:rPr>
          <w:iCs/>
          <w:sz w:val="28"/>
          <w:szCs w:val="28"/>
          <w:lang w:val="x-none" w:eastAsia="x-none"/>
        </w:rPr>
        <w:t xml:space="preserve"> а/м </w:t>
      </w:r>
      <w:r>
        <w:rPr>
          <w:iCs/>
          <w:sz w:val="28"/>
          <w:szCs w:val="28"/>
          <w:lang w:val="x-none" w:eastAsia="x-none"/>
        </w:rPr>
        <w:t>семейства Соболь,</w:t>
      </w:r>
      <w:r>
        <w:rPr>
          <w:iCs/>
          <w:sz w:val="28"/>
          <w:szCs w:val="28"/>
          <w:lang w:eastAsia="x-none"/>
        </w:rPr>
        <w:t xml:space="preserve"> </w:t>
      </w:r>
      <w:proofErr w:type="spellStart"/>
      <w:r>
        <w:rPr>
          <w:iCs/>
          <w:sz w:val="28"/>
          <w:szCs w:val="28"/>
          <w:lang w:val="x-none" w:eastAsia="x-none"/>
        </w:rPr>
        <w:t>ГАЗель</w:t>
      </w:r>
      <w:proofErr w:type="spellEnd"/>
      <w:r>
        <w:rPr>
          <w:iCs/>
          <w:sz w:val="28"/>
          <w:szCs w:val="28"/>
          <w:lang w:val="x-none" w:eastAsia="x-none"/>
        </w:rPr>
        <w:t xml:space="preserve"> NN,</w:t>
      </w:r>
      <w:r>
        <w:rPr>
          <w:iCs/>
          <w:sz w:val="28"/>
          <w:szCs w:val="28"/>
          <w:lang w:eastAsia="x-none"/>
        </w:rPr>
        <w:t xml:space="preserve"> </w:t>
      </w:r>
      <w:proofErr w:type="spellStart"/>
      <w:r>
        <w:rPr>
          <w:iCs/>
          <w:sz w:val="28"/>
          <w:szCs w:val="28"/>
          <w:lang w:val="x-none" w:eastAsia="x-none"/>
        </w:rPr>
        <w:t>GAZelle</w:t>
      </w:r>
      <w:proofErr w:type="spellEnd"/>
      <w:r>
        <w:rPr>
          <w:iCs/>
          <w:sz w:val="28"/>
          <w:szCs w:val="28"/>
          <w:lang w:val="x-none" w:eastAsia="x-none"/>
        </w:rPr>
        <w:t xml:space="preserve"> e-NN, в том числе с выходом на лидирующие позиции рынка электромобилей</w:t>
      </w:r>
      <w:r>
        <w:rPr>
          <w:iCs/>
          <w:sz w:val="28"/>
          <w:szCs w:val="28"/>
          <w:lang w:eastAsia="x-none"/>
        </w:rPr>
        <w:t>;</w:t>
      </w:r>
    </w:p>
    <w:p w:rsidR="00A27DF6" w:rsidRDefault="00A27DF6" w:rsidP="00A27DF6">
      <w:pPr>
        <w:pStyle w:val="af7"/>
        <w:widowControl w:val="0"/>
        <w:ind w:left="0" w:firstLine="709"/>
        <w:jc w:val="both"/>
        <w:rPr>
          <w:iCs/>
          <w:sz w:val="28"/>
          <w:szCs w:val="28"/>
          <w:lang w:eastAsia="x-none"/>
        </w:rPr>
      </w:pPr>
      <w:r>
        <w:rPr>
          <w:iCs/>
          <w:sz w:val="28"/>
          <w:szCs w:val="28"/>
          <w:lang w:eastAsia="x-none"/>
        </w:rPr>
        <w:t>с</w:t>
      </w:r>
      <w:proofErr w:type="spellStart"/>
      <w:r>
        <w:rPr>
          <w:iCs/>
          <w:sz w:val="28"/>
          <w:szCs w:val="28"/>
          <w:lang w:val="x-none" w:eastAsia="x-none"/>
        </w:rPr>
        <w:t>оздание</w:t>
      </w:r>
      <w:proofErr w:type="spellEnd"/>
      <w:r>
        <w:rPr>
          <w:iCs/>
          <w:sz w:val="28"/>
          <w:szCs w:val="28"/>
          <w:lang w:val="x-none" w:eastAsia="x-none"/>
        </w:rPr>
        <w:t xml:space="preserve"> новой линейки </w:t>
      </w:r>
      <w:proofErr w:type="spellStart"/>
      <w:r>
        <w:rPr>
          <w:iCs/>
          <w:sz w:val="28"/>
          <w:szCs w:val="28"/>
          <w:lang w:val="x-none" w:eastAsia="x-none"/>
        </w:rPr>
        <w:t>полноприводных</w:t>
      </w:r>
      <w:proofErr w:type="spellEnd"/>
      <w:r>
        <w:rPr>
          <w:iCs/>
          <w:sz w:val="28"/>
          <w:szCs w:val="28"/>
          <w:lang w:val="x-none" w:eastAsia="x-none"/>
        </w:rPr>
        <w:t xml:space="preserve"> автомобилей </w:t>
      </w:r>
      <w:proofErr w:type="spellStart"/>
      <w:r>
        <w:rPr>
          <w:iCs/>
          <w:sz w:val="28"/>
          <w:szCs w:val="28"/>
          <w:lang w:val="x-none" w:eastAsia="x-none"/>
        </w:rPr>
        <w:t>ГАЗель</w:t>
      </w:r>
      <w:proofErr w:type="spellEnd"/>
      <w:r>
        <w:rPr>
          <w:iCs/>
          <w:sz w:val="28"/>
          <w:szCs w:val="28"/>
          <w:lang w:val="x-none" w:eastAsia="x-none"/>
        </w:rPr>
        <w:t xml:space="preserve"> NN</w:t>
      </w:r>
      <w:r>
        <w:rPr>
          <w:iCs/>
          <w:sz w:val="28"/>
          <w:szCs w:val="28"/>
          <w:lang w:eastAsia="x-none"/>
        </w:rPr>
        <w:t>;</w:t>
      </w:r>
    </w:p>
    <w:p w:rsidR="00A27DF6" w:rsidRDefault="00A27DF6" w:rsidP="00A27DF6">
      <w:pPr>
        <w:pStyle w:val="af7"/>
        <w:widowControl w:val="0"/>
        <w:ind w:left="0" w:firstLine="709"/>
        <w:jc w:val="both"/>
        <w:rPr>
          <w:iCs/>
          <w:sz w:val="28"/>
          <w:szCs w:val="28"/>
          <w:lang w:val="x-none" w:eastAsia="x-none"/>
        </w:rPr>
      </w:pPr>
      <w:r>
        <w:rPr>
          <w:iCs/>
          <w:sz w:val="28"/>
          <w:szCs w:val="28"/>
          <w:lang w:eastAsia="x-none"/>
        </w:rPr>
        <w:t>с</w:t>
      </w:r>
      <w:proofErr w:type="spellStart"/>
      <w:r>
        <w:rPr>
          <w:iCs/>
          <w:sz w:val="28"/>
          <w:szCs w:val="28"/>
          <w:lang w:val="x-none" w:eastAsia="x-none"/>
        </w:rPr>
        <w:t>оздание</w:t>
      </w:r>
      <w:proofErr w:type="spellEnd"/>
      <w:r>
        <w:rPr>
          <w:iCs/>
          <w:sz w:val="28"/>
          <w:szCs w:val="28"/>
          <w:lang w:val="x-none" w:eastAsia="x-none"/>
        </w:rPr>
        <w:t xml:space="preserve"> автомобилей для городских и магистральных перевозок полной массой до 12т («Валдай 12»)</w:t>
      </w:r>
      <w:r>
        <w:rPr>
          <w:iCs/>
          <w:sz w:val="28"/>
          <w:szCs w:val="28"/>
          <w:lang w:eastAsia="x-none"/>
        </w:rPr>
        <w:t>;</w:t>
      </w:r>
      <w:r>
        <w:rPr>
          <w:iCs/>
          <w:sz w:val="28"/>
          <w:szCs w:val="28"/>
          <w:lang w:val="x-none" w:eastAsia="x-none"/>
        </w:rPr>
        <w:t xml:space="preserve"> </w:t>
      </w:r>
    </w:p>
    <w:p w:rsidR="00A27DF6" w:rsidRDefault="00A27DF6" w:rsidP="00A27DF6">
      <w:pPr>
        <w:pStyle w:val="af7"/>
        <w:widowControl w:val="0"/>
        <w:ind w:left="0" w:firstLine="709"/>
        <w:jc w:val="both"/>
        <w:rPr>
          <w:iCs/>
          <w:sz w:val="28"/>
          <w:szCs w:val="28"/>
          <w:lang w:val="x-none" w:eastAsia="x-none"/>
        </w:rPr>
      </w:pPr>
      <w:r>
        <w:rPr>
          <w:iCs/>
          <w:sz w:val="28"/>
          <w:szCs w:val="28"/>
          <w:lang w:eastAsia="x-none"/>
        </w:rPr>
        <w:t>с</w:t>
      </w:r>
      <w:proofErr w:type="spellStart"/>
      <w:r>
        <w:rPr>
          <w:iCs/>
          <w:sz w:val="28"/>
          <w:szCs w:val="28"/>
          <w:lang w:val="x-none" w:eastAsia="x-none"/>
        </w:rPr>
        <w:t>оздание</w:t>
      </w:r>
      <w:proofErr w:type="spellEnd"/>
      <w:r>
        <w:rPr>
          <w:iCs/>
          <w:sz w:val="28"/>
          <w:szCs w:val="28"/>
          <w:lang w:val="x-none" w:eastAsia="x-none"/>
        </w:rPr>
        <w:t xml:space="preserve"> беспилотного </w:t>
      </w:r>
      <w:proofErr w:type="spellStart"/>
      <w:r>
        <w:rPr>
          <w:iCs/>
          <w:sz w:val="28"/>
          <w:szCs w:val="28"/>
          <w:lang w:val="x-none" w:eastAsia="x-none"/>
        </w:rPr>
        <w:t>траспортного</w:t>
      </w:r>
      <w:proofErr w:type="spellEnd"/>
      <w:r>
        <w:rPr>
          <w:iCs/>
          <w:sz w:val="28"/>
          <w:szCs w:val="28"/>
          <w:lang w:val="x-none" w:eastAsia="x-none"/>
        </w:rPr>
        <w:t xml:space="preserve"> средства на </w:t>
      </w:r>
      <w:proofErr w:type="gramStart"/>
      <w:r>
        <w:rPr>
          <w:iCs/>
          <w:sz w:val="28"/>
          <w:szCs w:val="28"/>
          <w:lang w:val="x-none" w:eastAsia="x-none"/>
        </w:rPr>
        <w:t>базе</w:t>
      </w:r>
      <w:proofErr w:type="gramEnd"/>
      <w:r>
        <w:rPr>
          <w:iCs/>
          <w:sz w:val="28"/>
          <w:szCs w:val="28"/>
          <w:lang w:val="x-none" w:eastAsia="x-none"/>
        </w:rPr>
        <w:t xml:space="preserve"> а/м </w:t>
      </w:r>
      <w:proofErr w:type="spellStart"/>
      <w:r>
        <w:rPr>
          <w:iCs/>
          <w:sz w:val="28"/>
          <w:szCs w:val="28"/>
          <w:lang w:val="x-none" w:eastAsia="x-none"/>
        </w:rPr>
        <w:t>ГАЗель</w:t>
      </w:r>
      <w:proofErr w:type="spellEnd"/>
      <w:r>
        <w:rPr>
          <w:iCs/>
          <w:sz w:val="28"/>
          <w:szCs w:val="28"/>
          <w:lang w:val="x-none" w:eastAsia="x-none"/>
        </w:rPr>
        <w:t xml:space="preserve"> NN для работы на закрытых территориях и для работы по доставке грузов на вредных и опасных территориях и т.д.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Кроме того, в области бережливого производства, предприятием реализуются проекты направленные на повышение качества «черного» кузова и кабины; увеличение мощностей сборки – сварки кузовов каркасного автобуса, а также на внедрение автоматизированной беспилотной техники для внутрицеховой логистики.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  <w:lang w:eastAsia="en-US" w:bidi="ru-RU"/>
        </w:rPr>
      </w:pPr>
      <w:r>
        <w:rPr>
          <w:sz w:val="28"/>
          <w:szCs w:val="28"/>
          <w:lang w:eastAsia="en-US" w:bidi="ru-RU"/>
        </w:rPr>
        <w:t xml:space="preserve">В части цифровых технологий и платформенных решений на предприятии внедрена система управления рекламациями. Автоматизирована </w:t>
      </w:r>
      <w:proofErr w:type="spellStart"/>
      <w:r>
        <w:rPr>
          <w:sz w:val="28"/>
          <w:szCs w:val="28"/>
          <w:lang w:eastAsia="en-US" w:bidi="ru-RU"/>
        </w:rPr>
        <w:t>сервисно</w:t>
      </w:r>
      <w:proofErr w:type="spellEnd"/>
      <w:r>
        <w:rPr>
          <w:sz w:val="28"/>
          <w:szCs w:val="28"/>
          <w:lang w:eastAsia="en-US" w:bidi="ru-RU"/>
        </w:rPr>
        <w:t xml:space="preserve">-сбытовая сеть автомобилей и автобусов Группы ГАЗ в РФ, СНГ в части оформления заявок на гарантийный ремонт, актов гарантийного ремонта, актов дополнительного сервисного обслуживания по кампаниям, актов приема-передачи дефектных деталей и др. документов.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  <w:lang w:eastAsia="en-US" w:bidi="ru-RU"/>
        </w:rPr>
      </w:pPr>
      <w:r>
        <w:rPr>
          <w:sz w:val="28"/>
          <w:szCs w:val="28"/>
          <w:lang w:eastAsia="en-US"/>
        </w:rPr>
        <w:t>В прогнозном периоде планируется</w:t>
      </w:r>
      <w:r>
        <w:rPr>
          <w:sz w:val="28"/>
          <w:szCs w:val="28"/>
          <w:lang w:eastAsia="en-US" w:bidi="ru-RU"/>
        </w:rPr>
        <w:t xml:space="preserve"> внедрение системы мониторинга производственного технологического оборудования и оперативного управления производством (MES), что позволит снизить стоимость машинного часа на 12% за счёт управления загрузкой оборудования, снижения простоев и оптимизации технологических процессов.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К ведущим предприятиям данного вида деятельности также относятся: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ООО «СТ Нижегородец»; ООО «Промышленные технологии» (</w:t>
      </w:r>
      <w:r>
        <w:rPr>
          <w:sz w:val="28"/>
          <w:szCs w:val="28"/>
        </w:rPr>
        <w:t>производство автотранспортных средств); ООО «НПО «</w:t>
      </w:r>
      <w:proofErr w:type="spellStart"/>
      <w:r>
        <w:rPr>
          <w:sz w:val="28"/>
          <w:szCs w:val="28"/>
        </w:rPr>
        <w:t>Автопромагрегат</w:t>
      </w:r>
      <w:proofErr w:type="spellEnd"/>
      <w:r>
        <w:rPr>
          <w:sz w:val="28"/>
          <w:szCs w:val="28"/>
        </w:rPr>
        <w:t xml:space="preserve">»; АО «МС </w:t>
      </w:r>
      <w:proofErr w:type="spellStart"/>
      <w:r>
        <w:rPr>
          <w:sz w:val="28"/>
          <w:szCs w:val="28"/>
        </w:rPr>
        <w:t>Автомотив</w:t>
      </w:r>
      <w:proofErr w:type="spellEnd"/>
      <w:r>
        <w:rPr>
          <w:sz w:val="28"/>
          <w:szCs w:val="28"/>
        </w:rPr>
        <w:t>» (производство прочих комплектующих и принадлежностей для автотранспортных средств) и другие.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 прочих транспортных средств и оборудования объем отгруженных товаров собственного производства, выполненных работ и услуг по крупным и средним предприятиям по оценке составит 29,2 млрд. рублей, в сопоставимых ценах – 109,4%. К 2024 году прогнозируется увеличение объема до 32,7 млрд. рублей (на 5,9% в сопоставимых ценах).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Базовыми предприятиями в данной отрасли являются ПАО Завод «Красное Сормово» и ПАО «ОАК» - «НАЗ «Сокол».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году ПАО Завод «Красное Сормово» планирует увеличить объем отгруженных товаров на 95% относительно 2022 года. Это один из крупнейших судостроительных заводов в стране, входит в число лидеров российского судостроения.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Приоритетными направлениями деятельности являются гражданское судостроение и </w:t>
      </w:r>
      <w:proofErr w:type="spellStart"/>
      <w:r>
        <w:rPr>
          <w:rFonts w:ascii="Times New Roman" w:hAnsi="Times New Roman"/>
          <w:bCs/>
          <w:sz w:val="28"/>
          <w:szCs w:val="28"/>
        </w:rPr>
        <w:t>спецмашиностроение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текущего года на Петербургском международном экономическом форуме ПАО «Завод «Красное Сормово» и АО «Государственная транспортная лизинговая компания» (ГТЛК) подписали контракт на строительство серии из 34 сухогрузов проекта RSD59.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Контракт подписан в рамках реализации </w:t>
      </w:r>
      <w:proofErr w:type="spellStart"/>
      <w:r>
        <w:rPr>
          <w:rFonts w:ascii="Times New Roman" w:hAnsi="Times New Roman"/>
          <w:sz w:val="28"/>
          <w:szCs w:val="28"/>
        </w:rPr>
        <w:t>инвестпроекта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ГТЛК с использованием средств Фонда национального благосостояния по обновлению гражданского водного флота России. Планируется, что сухогрузы будут переданы ГТЛК тремя партиями: 10 судов – до конца 2024 года, 12 судов – до конца сентября 2025 года и еще 12 судов – до конца января 2027 г.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2023 году при поддержке Правительства РФ и ГТЛК в рамках программы по обновлению речного флота по заказу компании «</w:t>
      </w:r>
      <w:proofErr w:type="spellStart"/>
      <w:r>
        <w:rPr>
          <w:rFonts w:ascii="Times New Roman" w:hAnsi="Times New Roman"/>
          <w:sz w:val="28"/>
          <w:szCs w:val="28"/>
        </w:rPr>
        <w:t>ВодоходЪ</w:t>
      </w:r>
      <w:proofErr w:type="spellEnd"/>
      <w:r>
        <w:rPr>
          <w:rFonts w:ascii="Times New Roman" w:hAnsi="Times New Roman"/>
          <w:sz w:val="28"/>
          <w:szCs w:val="28"/>
        </w:rPr>
        <w:t xml:space="preserve"> началось строительство трех круизных судов проекта «Карелия». Суда будут построены по оптимизированному проекту с применением новых технических решений. Лайнеры смогут эксплуатироваться как в Черном, Каспийском и Белом морях, акватории Финского залива, так и на внутренних водных путях. А в зимний период рассматривается возможность их использования в качестве плавучих гостиниц. Планируется, что первое судно начнет навигацию в 2025 году, второе и третье – в 2026 году.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текущем году ПАО «Завод «Красное Сормово» и АО «РУМО» подписали соглашение о стратегическом сотрудничестве в области судостроения по направлениям судовых главных и вспомогательных энергетических установок, а также главных и вспомогательных двигателей. Соглашение будет способствовать решению задач по </w:t>
      </w:r>
      <w:proofErr w:type="spellStart"/>
      <w:r>
        <w:rPr>
          <w:sz w:val="28"/>
          <w:szCs w:val="28"/>
        </w:rPr>
        <w:t>импортозамещению</w:t>
      </w:r>
      <w:proofErr w:type="spellEnd"/>
      <w:r>
        <w:rPr>
          <w:sz w:val="28"/>
          <w:szCs w:val="28"/>
        </w:rPr>
        <w:t>, снижению зависимости отраслей промышленности Российской Федерации от импорта, совершенствованию производства, модернизации и развитию технологической базы российских предприятий.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среднесрочном периоде ПАО Завод «Красное Сормово» продолжит реализацию инвестиционных проектов в сферах: </w:t>
      </w:r>
    </w:p>
    <w:p w:rsidR="00A27DF6" w:rsidRDefault="00A27DF6" w:rsidP="00A27DF6">
      <w:pPr>
        <w:pStyle w:val="af7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технического перевооружения (приобретение оборудования, транспорта), модернизации, совершенствования энергетических коммуникаций с целью </w:t>
      </w:r>
      <w:r>
        <w:rPr>
          <w:sz w:val="28"/>
          <w:szCs w:val="28"/>
        </w:rPr>
        <w:lastRenderedPageBreak/>
        <w:t xml:space="preserve">обеспечения ритмичной и слаженной работы корпусообрабатывающего, стапельного, транспортного, </w:t>
      </w:r>
      <w:proofErr w:type="spellStart"/>
      <w:r>
        <w:rPr>
          <w:sz w:val="28"/>
          <w:szCs w:val="28"/>
        </w:rPr>
        <w:t>судомонтажного</w:t>
      </w:r>
      <w:proofErr w:type="spellEnd"/>
      <w:r>
        <w:rPr>
          <w:sz w:val="28"/>
          <w:szCs w:val="28"/>
        </w:rPr>
        <w:t>, сварочно-сборочного и окрасочного производств, а также создания технологической основы для двукратного увеличения программы строительства судов класса «река-море» и приобретения компетенций по строительству новых типов судов;</w:t>
      </w:r>
    </w:p>
    <w:p w:rsidR="00A27DF6" w:rsidRDefault="00A27DF6" w:rsidP="00A27DF6">
      <w:pPr>
        <w:pStyle w:val="af7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развития ИТ инфраструктуры с целью внедрения новых информационных сервисов, повышения эффективности деятельности предприятия с помощью внедрения информационных технологий. Благодаря реализации данного проекта планируется автоматизировать производственный процесс, обеспечить эффективный документооборот и сохранить численность руководителей и специалистов на уровне 2020 года, несмотря на предполагаемый рост численности рабочих в зависимости от производственной программы.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ПАО «ОАК» - НАЗ «Сокол» - одно из крупнейших предприятий российской авиационной промышленности. Основными видами деятельности которого является разработка, производство, летные испытания, сервисное обслуживание, ремонт и модернизация авиационной техники. 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целями и задачами предприятия на планируемый период являются: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своевременное исполнение обязательств по заключенным контрактам с министерством обороны Российской Федерации (МО РФ) на ремонт и модернизацию авиационной техники;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продолжение работ по серийному производству отсеков самолета Ил-114;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проекта по изготовлению деталей и </w:t>
      </w:r>
      <w:proofErr w:type="spellStart"/>
      <w:r>
        <w:rPr>
          <w:rFonts w:ascii="Times New Roman" w:hAnsi="Times New Roman"/>
          <w:bCs/>
          <w:sz w:val="28"/>
          <w:szCs w:val="28"/>
        </w:rPr>
        <w:t>подкилевого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отсека самолета МС-21;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поиск потенциальных покупателей и заказчиков с целью обеспечения полной загрузки производства;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разработка и реализация проектов по развитию производственной системы, направленных на достижение стратегических целей предприятия и др.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развитие отрасли производства прочих транспортных средств и оборудования в среднесрочной перспективе может повлиять создание</w:t>
      </w:r>
      <w:r>
        <w:t xml:space="preserve"> </w:t>
      </w:r>
      <w:r>
        <w:rPr>
          <w:rFonts w:ascii="Times New Roman" w:hAnsi="Times New Roman"/>
          <w:bCs/>
          <w:sz w:val="28"/>
          <w:szCs w:val="28"/>
        </w:rPr>
        <w:t>российско-белорусского станкостроительного предприятия в Нижнем Новгороде. В 2023 году на выставке «Иннопром-2023» (г. Екатеринбург) нижегородский завод ООО «</w:t>
      </w:r>
      <w:proofErr w:type="spellStart"/>
      <w:r>
        <w:rPr>
          <w:rFonts w:ascii="Times New Roman" w:hAnsi="Times New Roman"/>
          <w:bCs/>
          <w:sz w:val="28"/>
          <w:szCs w:val="28"/>
        </w:rPr>
        <w:t>Велам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-Рус» и белорусский ОАО «Станкозавод «Красный борец» подписали соглашение о намерениях по созданию совместного станкостроительного предприятия по сборке </w:t>
      </w:r>
      <w:proofErr w:type="spellStart"/>
      <w:r>
        <w:rPr>
          <w:rFonts w:ascii="Times New Roman" w:hAnsi="Times New Roman"/>
          <w:bCs/>
          <w:sz w:val="28"/>
          <w:szCs w:val="28"/>
        </w:rPr>
        <w:t>круглошлифовальных</w:t>
      </w:r>
      <w:proofErr w:type="spellEnd"/>
      <w:r>
        <w:rPr>
          <w:rFonts w:ascii="Times New Roman" w:hAnsi="Times New Roman"/>
          <w:bCs/>
          <w:sz w:val="28"/>
          <w:szCs w:val="28"/>
        </w:rPr>
        <w:t>, плоскошлифовальных станков и иного оборудования.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готовых металлических изделий, кроме машин и оборудования оцениваемый объем отгрузки товаров собственного производства в 2023 году составит 82,8 млрд. рублей,</w:t>
      </w:r>
      <w:r>
        <w:t xml:space="preserve"> </w:t>
      </w:r>
      <w:r>
        <w:rPr>
          <w:sz w:val="28"/>
          <w:szCs w:val="28"/>
        </w:rPr>
        <w:t>в сопоставимых ценах - 109,2%, к уровню прошлого года. К 2024 году объем отгрузки составит 88,9 млрд. рублей (рост на 2,7% в сопоставимых ценах).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Основные объемы производства по направлению деятельности обеспечивают следующие ведущие предприятия: </w:t>
      </w:r>
      <w:r>
        <w:rPr>
          <w:sz w:val="28"/>
          <w:szCs w:val="28"/>
          <w:shd w:val="clear" w:color="auto" w:fill="FFFFFF"/>
        </w:rPr>
        <w:t xml:space="preserve">АО «НЗ 70-летия Победы», ПАО «Завод им. Г.И Петровского» (производство оружия и боеприпасов); </w:t>
      </w:r>
      <w:r>
        <w:rPr>
          <w:sz w:val="28"/>
          <w:szCs w:val="28"/>
        </w:rPr>
        <w:t>АО «Завод Красный Якорь» (</w:t>
      </w:r>
      <w:hyperlink r:id="rId11" w:history="1">
        <w:r>
          <w:rPr>
            <w:rStyle w:val="af3"/>
            <w:color w:val="000000"/>
            <w:sz w:val="28"/>
            <w:szCs w:val="28"/>
          </w:rPr>
          <w:t>производство цепей, кроме шарнирных, и составных частей к ним</w:t>
        </w:r>
      </w:hyperlink>
      <w:r>
        <w:rPr>
          <w:sz w:val="28"/>
          <w:szCs w:val="28"/>
        </w:rPr>
        <w:t xml:space="preserve">); ЗАО «Завод «Труд» (производство фурнитуры из недрагоценных металлов для одежды, обуви, кожгалантереи и прочих изделий, в том числе крючков, пряжек, застежек, </w:t>
      </w:r>
      <w:r>
        <w:rPr>
          <w:sz w:val="28"/>
          <w:szCs w:val="28"/>
        </w:rPr>
        <w:lastRenderedPageBreak/>
        <w:t>петелек, колечек, трубчатых и раздвоенных заклепок и др.); АО «ОКБМ Африкантов» (</w:t>
      </w:r>
      <w:r>
        <w:rPr>
          <w:sz w:val="28"/>
          <w:szCs w:val="28"/>
          <w:shd w:val="clear" w:color="auto" w:fill="FFFFFF"/>
        </w:rPr>
        <w:t>производство частей ядерных установок, кроме устройств для разделения изотопов); ООО НПЦ «АНОД» (производство прочих готовых металлических изделий, не включенных в другие</w:t>
      </w:r>
      <w:r>
        <w:rPr>
          <w:rFonts w:ascii="Segoe UI" w:hAnsi="Segoe UI" w:cs="Segoe UI"/>
          <w:color w:val="333333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группировки) и другие.</w:t>
      </w:r>
    </w:p>
    <w:p w:rsidR="00A27DF6" w:rsidRDefault="00A27DF6" w:rsidP="00A27DF6">
      <w:pPr>
        <w:numPr>
          <w:ilvl w:val="1"/>
          <w:numId w:val="28"/>
        </w:num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АО «НЗ 70-летия Победы» планирует увеличить объем отгруженных товаров на 58% относительно 2022 года. </w:t>
      </w:r>
      <w:r>
        <w:rPr>
          <w:sz w:val="28"/>
          <w:szCs w:val="28"/>
          <w:shd w:val="clear" w:color="auto" w:fill="FFFFFF"/>
        </w:rPr>
        <w:t xml:space="preserve">Это один из ведущих научно-производственных центров по разработке радиолокационной техники, который входит в </w:t>
      </w:r>
      <w:r>
        <w:rPr>
          <w:sz w:val="28"/>
          <w:szCs w:val="28"/>
        </w:rPr>
        <w:t xml:space="preserve">состав АО «Концерн ВКО «Алмаз-Антей», специализирующиеся на выпуске вооружения и военной техники. </w:t>
      </w:r>
    </w:p>
    <w:p w:rsidR="00A27DF6" w:rsidRDefault="00A27DF6" w:rsidP="00A27DF6">
      <w:pPr>
        <w:numPr>
          <w:ilvl w:val="1"/>
          <w:numId w:val="28"/>
        </w:num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Вся продукция, запланированная к производству и реализации, является высокотехнологичной и представляет собой образцы военной техники тематики ПВО и гражданской продукции.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Продукция гражданского назначения в программе освоения на 2023-2026 гг. представлена в основном оборудованием систем подводной добычи углеводородов в соответствии с «Дорожной картой по поиску, созданию и внедрению современных технологий, технологического оборудования в целях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>» (между ПАО «Газпром» и АО «Концерн ВКО «Алмаз-Антей»). АО «НЗ 70-летия Победы» выполняются опытно-конструкторские работы с изготовлением опытных образцов и проведением предварительных испытаний компонентов системы подводной добычи углеводородов и компрессорных установок мощностью от 200 до 4000 кВт (2023-2025 гг.). Также в рамках увеличения доли гражданской продукции проводится освоение крановых систем различного исполнения и грузоподъемности по договору с ПАО «МЗИК», изготовление пресс-форм, выполнение услуг по механической, гальванической, термической обработке, а также окраске, сварке, резке и различных лабораторных испытаний, включая рентген, климатические испытания. Для проведения испытаний продукции на предприятии создан Испытательный центр.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2023-2025 гг. предприятием планируется реализовать не менее 55 проектов в области бережливого производства.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АО «НЗ 70-летия Победы» реализуются следующие проекты: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повышение эффективности производства в цехе </w:t>
      </w:r>
      <w:proofErr w:type="spellStart"/>
      <w:r>
        <w:rPr>
          <w:bCs/>
          <w:sz w:val="28"/>
          <w:szCs w:val="28"/>
        </w:rPr>
        <w:t>РЗиСС</w:t>
      </w:r>
      <w:proofErr w:type="spellEnd"/>
      <w:r>
        <w:rPr>
          <w:bCs/>
          <w:sz w:val="28"/>
          <w:szCs w:val="28"/>
        </w:rPr>
        <w:t>, МСЦ № 53 и МСЦ № 150 путем снижения организационных потерь;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изготовление изделий гражданского назначения по портфелю заказов Газпром;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эффективности процесса изготовления электромашинного усилителя и диэлектрического изделия;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эффективности производства путем интеграции систем мониторинга и видеонаблюдения АИС «Диспетчер» и Системы охранного телевидения (СОТ);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внедрение системы видеонаблюдения на площадях механосборочного производства и раскройно-заготовительного и сборочно-сварочного производства, обеспечивающей контроль производственного процесса, повышение эффективности СОТ на основе автоматического мониторинга и оповещения о событиях в системе АИС «Диспетчер».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2023-2026 гг. составит порядка 23,3 млрд. рублей.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Увеличение объема отгруженных товаров в 2023 году на 35% ожидается и на ПАО «Завод им. Г. И. Петровского» - крупное приборостроительное предприятие, производитель бортовых и наземных регистраторов речевой информации («черных ящиков») для МО РФ, спецтехники для военно-морского флота, </w:t>
      </w:r>
      <w:proofErr w:type="spellStart"/>
      <w:r>
        <w:rPr>
          <w:sz w:val="28"/>
          <w:szCs w:val="28"/>
        </w:rPr>
        <w:t>авионики</w:t>
      </w:r>
      <w:proofErr w:type="spellEnd"/>
      <w:r>
        <w:rPr>
          <w:sz w:val="28"/>
          <w:szCs w:val="28"/>
        </w:rPr>
        <w:t xml:space="preserve"> и другой продукции промышленного характера, в том числе </w:t>
      </w:r>
      <w:proofErr w:type="spellStart"/>
      <w:r>
        <w:rPr>
          <w:sz w:val="28"/>
          <w:szCs w:val="28"/>
        </w:rPr>
        <w:t>электрорадиотехнических</w:t>
      </w:r>
      <w:proofErr w:type="spellEnd"/>
      <w:r>
        <w:rPr>
          <w:sz w:val="28"/>
          <w:szCs w:val="28"/>
        </w:rPr>
        <w:t xml:space="preserve"> и автомобильных устройств и аксессуаров.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государственной программы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 xml:space="preserve"> ПАО «Завод им. Г.И. Петровского» заключил договор с АО «</w:t>
      </w:r>
      <w:proofErr w:type="spellStart"/>
      <w:r>
        <w:rPr>
          <w:sz w:val="28"/>
          <w:szCs w:val="28"/>
        </w:rPr>
        <w:t>Газприборавтоматикасервис</w:t>
      </w:r>
      <w:proofErr w:type="spellEnd"/>
      <w:r>
        <w:rPr>
          <w:sz w:val="28"/>
          <w:szCs w:val="28"/>
        </w:rPr>
        <w:t>» (структурным подразделением АО «Газпром») на производство датчиков дефектов для регистрации и измерения параметров рассеивания магнитного поля вблизи стенки, а также сварных швов магистральных трубопроводов.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2024-2026 гг. составит порядка 360 млн. рублей.</w:t>
      </w:r>
    </w:p>
    <w:p w:rsidR="00A27DF6" w:rsidRDefault="00A27DF6" w:rsidP="00A27DF6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Акционерное общество «Опытное Конструкторское Бюро Машиностроения имени И.И. Африкантова» (АО «ОКБМ Африкантов», входит в состав курируемых компаний АО «</w:t>
      </w:r>
      <w:proofErr w:type="spellStart"/>
      <w:r>
        <w:rPr>
          <w:iCs/>
          <w:sz w:val="28"/>
          <w:szCs w:val="28"/>
        </w:rPr>
        <w:t>Атомэнергомаш</w:t>
      </w:r>
      <w:proofErr w:type="spellEnd"/>
      <w:r>
        <w:rPr>
          <w:iCs/>
          <w:sz w:val="28"/>
          <w:szCs w:val="28"/>
        </w:rPr>
        <w:t xml:space="preserve">» - машиностроительного холдинга </w:t>
      </w:r>
      <w:proofErr w:type="spellStart"/>
      <w:r>
        <w:rPr>
          <w:iCs/>
          <w:sz w:val="28"/>
          <w:szCs w:val="28"/>
        </w:rPr>
        <w:t>Госкорпорации</w:t>
      </w:r>
      <w:proofErr w:type="spellEnd"/>
      <w:r>
        <w:rPr>
          <w:iCs/>
          <w:sz w:val="28"/>
          <w:szCs w:val="28"/>
        </w:rPr>
        <w:t xml:space="preserve"> «</w:t>
      </w:r>
      <w:proofErr w:type="spellStart"/>
      <w:r>
        <w:rPr>
          <w:iCs/>
          <w:sz w:val="28"/>
          <w:szCs w:val="28"/>
        </w:rPr>
        <w:t>Росатом</w:t>
      </w:r>
      <w:proofErr w:type="spellEnd"/>
      <w:r>
        <w:rPr>
          <w:iCs/>
          <w:sz w:val="28"/>
          <w:szCs w:val="28"/>
        </w:rPr>
        <w:t>») - крупный научно-производственный центр атомного машиностроения, располагающий многопрофильным конструкторским коллективом, собственной исследовательской, экспериментальной и производственной базой. Научно-производственный потенциал предприятия позволяет выполнять весь комплекс работ по созданию различных типов реакторных установок и оборудования для них.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«ОКБМ Африкантов» участвует в реализации национальных проектов, в модернизации и развитии базовых отраслей экономики в рамках стратегических векторов и проектов развития страны (стратегии лидерства и сфере высоких технологий).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2023 года на базе АО «ОКБМ Африкантов» открылся Центр Аддитивных технологий </w:t>
      </w:r>
      <w:proofErr w:type="spellStart"/>
      <w:r>
        <w:rPr>
          <w:sz w:val="28"/>
          <w:szCs w:val="28"/>
        </w:rPr>
        <w:t>Госкорпорации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Росатом</w:t>
      </w:r>
      <w:proofErr w:type="spellEnd"/>
      <w:r>
        <w:rPr>
          <w:sz w:val="28"/>
          <w:szCs w:val="28"/>
        </w:rPr>
        <w:t xml:space="preserve">», что позволяет производить уникальное оборудование быстрым и экономичным способом 3D-печати и открывать новые возможности для достижения стратегических целей и увеличения объема производства.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комплексного проекта по формированию производственной системы «</w:t>
      </w:r>
      <w:proofErr w:type="spellStart"/>
      <w:r>
        <w:rPr>
          <w:sz w:val="28"/>
          <w:szCs w:val="28"/>
        </w:rPr>
        <w:t>Росатом</w:t>
      </w:r>
      <w:proofErr w:type="spellEnd"/>
      <w:r>
        <w:rPr>
          <w:sz w:val="28"/>
          <w:szCs w:val="28"/>
        </w:rPr>
        <w:t>» (ПСР) в АО «ОКБМ Африкантов» применяется системный подход в развитии ПСР (бережливого производства) по направлениям «Декомпозиция целей», «Продуктовые потоки», «Процессы обеспечения производства», «Активизация персонала», «Цифровые корпоративные ПСР-функции», «Развитие поставщиков», «ПСР-инжиниринг».</w:t>
      </w:r>
    </w:p>
    <w:p w:rsidR="00A27DF6" w:rsidRDefault="00A27DF6" w:rsidP="00A27DF6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работы развивающей партнерской проверки качества развития Производственной системы «</w:t>
      </w:r>
      <w:proofErr w:type="spellStart"/>
      <w:r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>» (РППК), проведенной в январе 2023 года,</w:t>
      </w:r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АО «ОКБМ Африкантов» подтвердило эффективность мероприятий в области развития ПСР. Подтвержден статус «Лидер ПСР»</w:t>
      </w:r>
      <w:r>
        <w:t xml:space="preserve"> </w:t>
      </w:r>
      <w:r>
        <w:rPr>
          <w:bCs/>
          <w:iCs/>
          <w:sz w:val="28"/>
          <w:szCs w:val="28"/>
        </w:rPr>
        <w:t>и получен новый статус «Цифровое ПСР-предприятие» - бронзовый уровень.</w:t>
      </w:r>
    </w:p>
    <w:p w:rsidR="00A27DF6" w:rsidRDefault="00A27DF6" w:rsidP="00A27DF6">
      <w:pPr>
        <w:pStyle w:val="af7"/>
        <w:suppressAutoHyphens/>
        <w:ind w:left="0" w:firstLine="63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среднесрочной перспективе ожидается рост объема отгруженной продукции до 25%. В планах предприятия реализация следующих инвестиционных проектов: проекты перевооружения и развития производства; развитие вычислительной базы; инвестиции в интеллектуальный капитал; техническое перевооружение и развитие инфраструктуры; ремонты и обновление автопарка АО «ОКБМ Африкантов»; научно-исследовательские работы по обоснованию </w:t>
      </w:r>
      <w:r>
        <w:rPr>
          <w:sz w:val="28"/>
          <w:szCs w:val="28"/>
        </w:rPr>
        <w:lastRenderedPageBreak/>
        <w:t xml:space="preserve">технологий создания </w:t>
      </w:r>
      <w:proofErr w:type="spellStart"/>
      <w:r>
        <w:rPr>
          <w:sz w:val="28"/>
          <w:szCs w:val="28"/>
        </w:rPr>
        <w:t>детандерного</w:t>
      </w:r>
      <w:proofErr w:type="spellEnd"/>
      <w:r>
        <w:rPr>
          <w:sz w:val="28"/>
          <w:szCs w:val="28"/>
        </w:rPr>
        <w:t xml:space="preserve"> и насосного оборудования отечественных технологических комплексов сжиженного природного газа; комплексная отработка технологии изготовления элементов оборудования атомной энергетики при помощи аддитивных технологий.</w:t>
      </w:r>
      <w:r>
        <w:rPr>
          <w:bCs/>
          <w:sz w:val="28"/>
          <w:szCs w:val="28"/>
        </w:rPr>
        <w:t xml:space="preserve">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Ожидается, что в 2024-2026 гг. объем инвестиций в основной капитал составит порядка 9,9 млрд. рублей.</w:t>
      </w:r>
    </w:p>
    <w:p w:rsidR="00A27DF6" w:rsidRDefault="00A27DF6" w:rsidP="00A27DF6">
      <w:pPr>
        <w:pStyle w:val="af7"/>
        <w:suppressAutoHyphens/>
        <w:ind w:left="0"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АО «Завод Красный Якорь» - крупнейшее предприятие по производству якорных цепей и такелажа, цепей для горно-шахтного оборудования, грузовых цепей, строп и комплектующих.</w:t>
      </w:r>
    </w:p>
    <w:p w:rsidR="00A27DF6" w:rsidRDefault="00A27DF6" w:rsidP="00A27DF6">
      <w:pPr>
        <w:pStyle w:val="af7"/>
        <w:suppressAutoHyphens/>
        <w:ind w:left="0"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рамках </w:t>
      </w:r>
      <w:proofErr w:type="spellStart"/>
      <w:r>
        <w:rPr>
          <w:bCs/>
          <w:sz w:val="28"/>
          <w:szCs w:val="28"/>
        </w:rPr>
        <w:t>импортозамещения</w:t>
      </w:r>
      <w:proofErr w:type="spellEnd"/>
      <w:r>
        <w:rPr>
          <w:bCs/>
          <w:sz w:val="28"/>
          <w:szCs w:val="28"/>
        </w:rPr>
        <w:t xml:space="preserve"> в конце декабря 2022 года </w:t>
      </w:r>
      <w:proofErr w:type="spellStart"/>
      <w:r>
        <w:rPr>
          <w:bCs/>
          <w:sz w:val="28"/>
          <w:szCs w:val="28"/>
        </w:rPr>
        <w:t>Минпромторг</w:t>
      </w:r>
      <w:proofErr w:type="spellEnd"/>
      <w:r>
        <w:rPr>
          <w:bCs/>
          <w:sz w:val="28"/>
          <w:szCs w:val="28"/>
        </w:rPr>
        <w:t xml:space="preserve"> РФ выделил субсидию АО «Завод Красный Якорь» на проект по разработке якорных цепей большого диаметра – калибром не менее 102 мм для крупнотоннажных судов</w:t>
      </w:r>
      <w:r>
        <w:t xml:space="preserve"> </w:t>
      </w:r>
      <w:r>
        <w:rPr>
          <w:bCs/>
          <w:sz w:val="28"/>
          <w:szCs w:val="28"/>
        </w:rPr>
        <w:t>в условиях работы в Арктической зоне при температурах ниже -50°С. До настоящего времени якорные цепи такого калибра завозились из-за рубежа. Завод планирует завершить разработку и представить опытные образцы новых якорных цепей до конца текущего года.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 компьютеров, электронных и оптических изделий в 2023 году объем отгрузки товаров собственного производства составит 50,8 млрд. рублей, в сопоставимых ценах - 83,1% к уровню прошлого года. К 2024 году объем отгрузки составит 55,2 млрд. рублей (рост на 2,7% в сопоставимых ценах).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влияние на развитие сектора оказывают:  ПАО «</w:t>
      </w:r>
      <w:proofErr w:type="spellStart"/>
      <w:r>
        <w:rPr>
          <w:rFonts w:ascii="Times New Roman" w:hAnsi="Times New Roman"/>
          <w:sz w:val="28"/>
          <w:szCs w:val="28"/>
        </w:rPr>
        <w:t>Нител</w:t>
      </w:r>
      <w:proofErr w:type="spellEnd"/>
      <w:r>
        <w:rPr>
          <w:rFonts w:ascii="Times New Roman" w:hAnsi="Times New Roman"/>
          <w:sz w:val="28"/>
          <w:szCs w:val="28"/>
        </w:rPr>
        <w:t>»  (производство радиолокационной, радионавигационной аппаратуры и радиоаппаратуры дистанционного управления); АО «ГЗАС им. А.С. Попова» (производство радио - и телевизионной передающей аппаратуры); АО «Нижегородское НПО им. М.В. Фрунзе» (производство прочих приборов, датчиков, аппаратуры и инструментов для измерения, контроля и испытаний); АО «Время-Ч» (производство инструментов и приборов для измерения, тестирования и навигации); АО «</w:t>
      </w:r>
      <w:proofErr w:type="spellStart"/>
      <w:r>
        <w:rPr>
          <w:rFonts w:ascii="Times New Roman" w:hAnsi="Times New Roman"/>
          <w:sz w:val="28"/>
          <w:szCs w:val="28"/>
        </w:rPr>
        <w:t>НоваКард</w:t>
      </w:r>
      <w:proofErr w:type="spellEnd"/>
      <w:r>
        <w:rPr>
          <w:rFonts w:ascii="Times New Roman" w:hAnsi="Times New Roman"/>
          <w:sz w:val="28"/>
          <w:szCs w:val="28"/>
        </w:rPr>
        <w:t>» (производство незаписанных магнитных и оптических технических носителей информации); АО «</w:t>
      </w:r>
      <w:r>
        <w:rPr>
          <w:rFonts w:ascii="Times New Roman" w:hAnsi="Times New Roman"/>
          <w:bCs/>
          <w:sz w:val="28"/>
          <w:szCs w:val="28"/>
        </w:rPr>
        <w:t>НПП</w:t>
      </w:r>
      <w:r>
        <w:rPr>
          <w:rFonts w:ascii="Times New Roman" w:hAnsi="Times New Roman"/>
          <w:sz w:val="28"/>
          <w:szCs w:val="28"/>
        </w:rPr>
        <w:t> «</w:t>
      </w:r>
      <w:r>
        <w:rPr>
          <w:rFonts w:ascii="Times New Roman" w:hAnsi="Times New Roman"/>
          <w:bCs/>
          <w:sz w:val="28"/>
          <w:szCs w:val="28"/>
        </w:rPr>
        <w:t>Полет</w:t>
      </w:r>
      <w:r>
        <w:rPr>
          <w:rFonts w:ascii="Times New Roman" w:hAnsi="Times New Roman"/>
          <w:sz w:val="28"/>
          <w:szCs w:val="28"/>
        </w:rPr>
        <w:t>» (производство средств связи, выполняющих функцию систем коммутации); АО «НПО «</w:t>
      </w:r>
      <w:proofErr w:type="spellStart"/>
      <w:r>
        <w:rPr>
          <w:rFonts w:ascii="Times New Roman" w:hAnsi="Times New Roman"/>
          <w:sz w:val="28"/>
          <w:szCs w:val="28"/>
        </w:rPr>
        <w:t>Эркон</w:t>
      </w:r>
      <w:proofErr w:type="spellEnd"/>
      <w:r>
        <w:rPr>
          <w:rFonts w:ascii="Times New Roman" w:hAnsi="Times New Roman"/>
          <w:sz w:val="28"/>
          <w:szCs w:val="28"/>
        </w:rPr>
        <w:t>» (производство частей электронных ламп, трубок и прочих электронных компонентов,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не включенных в другие группировки) и другие.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«Нижегородское НПО им. М.В. Фрунзе» является разработчиком и производителем современных высокотехнологичных радиоэлектронных приборов военного и гражданского назначения. В 2023 году предприятие планирует увеличить объем отгруженных товаров на 49,3% относительно 2022 года, в том числе на 19,1% увеличить производство радиоизмерительной аппаратуры, на 113,2% - производство приборов учета электрической энергии, производство прочей продукции (микросборки, СВЧ-узлы и пр.) - на 7%.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«ГЗАС им. А.С. Попова» осуществляет производство, техническое обслуживание, ремонт и модернизацию авиационных и наземных аэродромных радиостанций, аппаратуры внутренней связи и коммутации. В текущем году предприятие планирует увеличить объем отгруженной продукции на 70,4%, в том числе на 61,3% увеличить производство медицинского оборудования.</w:t>
      </w:r>
    </w:p>
    <w:p w:rsidR="00A27DF6" w:rsidRDefault="00A27DF6" w:rsidP="00A27DF6">
      <w:pPr>
        <w:pStyle w:val="1e"/>
        <w:numPr>
          <w:ilvl w:val="0"/>
          <w:numId w:val="28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</w:t>
      </w:r>
      <w:r>
        <w:rPr>
          <w:rFonts w:ascii="Times New Roman" w:hAnsi="Times New Roman"/>
          <w:bCs/>
          <w:sz w:val="28"/>
          <w:szCs w:val="28"/>
        </w:rPr>
        <w:t>НПП</w:t>
      </w:r>
      <w:r>
        <w:rPr>
          <w:rFonts w:ascii="Times New Roman" w:hAnsi="Times New Roman"/>
          <w:sz w:val="28"/>
          <w:szCs w:val="28"/>
        </w:rPr>
        <w:t> «</w:t>
      </w:r>
      <w:r>
        <w:rPr>
          <w:rFonts w:ascii="Times New Roman" w:hAnsi="Times New Roman"/>
          <w:bCs/>
          <w:sz w:val="28"/>
          <w:szCs w:val="28"/>
        </w:rPr>
        <w:t>Полет</w:t>
      </w:r>
      <w:r>
        <w:rPr>
          <w:rFonts w:ascii="Times New Roman" w:hAnsi="Times New Roman"/>
          <w:sz w:val="28"/>
          <w:szCs w:val="28"/>
        </w:rPr>
        <w:t>» является одним из ведущих в отрасли по технике авиационной радиосвязи военного и гражданского назначения. Разрабатывает и произво</w:t>
      </w:r>
      <w:r>
        <w:rPr>
          <w:rFonts w:ascii="Times New Roman" w:hAnsi="Times New Roman"/>
          <w:sz w:val="28"/>
          <w:szCs w:val="28"/>
        </w:rPr>
        <w:lastRenderedPageBreak/>
        <w:t>дит: системы управления и связи на авиационных носителях; бортовое авиационное и наземное оборудование (приемники, передатчики, радиостанции, аппаратура внутренней связи и коммутации, устройства защиты, антенно-фидерные устройства и пр.); технику экологического мониторинга; медицинскую технику.</w:t>
      </w:r>
    </w:p>
    <w:p w:rsidR="00A27DF6" w:rsidRDefault="00A27DF6" w:rsidP="00A27DF6">
      <w:pPr>
        <w:pStyle w:val="Bodytext20"/>
        <w:shd w:val="clear" w:color="auto" w:fill="auto"/>
        <w:ind w:firstLine="760"/>
        <w:rPr>
          <w:szCs w:val="28"/>
        </w:rPr>
      </w:pPr>
      <w:r>
        <w:rPr>
          <w:szCs w:val="28"/>
        </w:rPr>
        <w:t>В текущем году предприятием</w:t>
      </w:r>
      <w:r>
        <w:t xml:space="preserve"> </w:t>
      </w:r>
      <w:r>
        <w:rPr>
          <w:szCs w:val="28"/>
        </w:rPr>
        <w:t xml:space="preserve">АО «НПП «Полет» был разработан новый комплекс бортовых средств цифровой связи для самолётов пятого поколения. Комплексное решение действует в диапазонах высоких и очень высоких частот, обладает повышенной </w:t>
      </w:r>
      <w:proofErr w:type="spellStart"/>
      <w:r>
        <w:rPr>
          <w:szCs w:val="28"/>
        </w:rPr>
        <w:t>помехо</w:t>
      </w:r>
      <w:proofErr w:type="spellEnd"/>
      <w:r>
        <w:rPr>
          <w:szCs w:val="28"/>
        </w:rPr>
        <w:t xml:space="preserve"> - и </w:t>
      </w:r>
      <w:proofErr w:type="spellStart"/>
      <w:r>
        <w:rPr>
          <w:szCs w:val="28"/>
        </w:rPr>
        <w:t>разведзащищенностью</w:t>
      </w:r>
      <w:proofErr w:type="spellEnd"/>
      <w:r>
        <w:rPr>
          <w:szCs w:val="28"/>
        </w:rPr>
        <w:t>. В состав решения входят блоки цифровой обработки сигналов, устройства кодирования и декодирования данных, антенна спутниковой навигации и т.д.</w:t>
      </w:r>
    </w:p>
    <w:p w:rsidR="00A27DF6" w:rsidRDefault="00A27DF6" w:rsidP="00A27DF6">
      <w:pPr>
        <w:pStyle w:val="Bodytext20"/>
        <w:shd w:val="clear" w:color="auto" w:fill="auto"/>
        <w:ind w:firstLine="760"/>
        <w:rPr>
          <w:szCs w:val="28"/>
        </w:rPr>
      </w:pPr>
      <w:r>
        <w:rPr>
          <w:szCs w:val="28"/>
        </w:rPr>
        <w:t>ПАО «</w:t>
      </w:r>
      <w:proofErr w:type="spellStart"/>
      <w:r>
        <w:rPr>
          <w:szCs w:val="28"/>
        </w:rPr>
        <w:t>Нител</w:t>
      </w:r>
      <w:proofErr w:type="spellEnd"/>
      <w:r>
        <w:rPr>
          <w:szCs w:val="28"/>
        </w:rPr>
        <w:t>» - одно из старейших радиотехнических предприятий России. Данное предприятие специализируется на выпуске радиолокационных систем (РЛС) и комплексов, модернизации, ремонте и сервисном обслуживании ранее выпущенных РЛС.</w:t>
      </w:r>
    </w:p>
    <w:p w:rsidR="00A27DF6" w:rsidRDefault="00A27DF6" w:rsidP="00A27DF6">
      <w:pPr>
        <w:pStyle w:val="1e"/>
        <w:numPr>
          <w:ilvl w:val="0"/>
          <w:numId w:val="28"/>
        </w:numPr>
        <w:suppressAutoHyphens/>
        <w:ind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Ежегодно с целью повышения эффективности производства, качества выпускаемой продукции, снижения </w:t>
      </w:r>
      <w:proofErr w:type="spellStart"/>
      <w:r>
        <w:rPr>
          <w:rFonts w:ascii="Times New Roman" w:hAnsi="Times New Roman"/>
          <w:sz w:val="28"/>
          <w:szCs w:val="28"/>
        </w:rPr>
        <w:t>энергозатрат</w:t>
      </w:r>
      <w:proofErr w:type="spellEnd"/>
      <w:r>
        <w:rPr>
          <w:rFonts w:ascii="Times New Roman" w:hAnsi="Times New Roman"/>
          <w:sz w:val="28"/>
          <w:szCs w:val="28"/>
        </w:rPr>
        <w:t xml:space="preserve"> и роста прибыли предприятие инвестирует финансовые средства в свое развитие. </w:t>
      </w:r>
      <w:r>
        <w:rPr>
          <w:rFonts w:ascii="Times New Roman" w:hAnsi="Times New Roman"/>
          <w:sz w:val="28"/>
          <w:szCs w:val="28"/>
          <w:lang w:eastAsia="ru-RU"/>
        </w:rPr>
        <w:t>Производство и поставку специальной техники предприятие осуществляет в соответствии с государственными контрактами и договорами комиссии, заключенными с МО РФ и АО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Рособоронэкспорт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». До 2027 года предприятием запланировано выполнение 14 государственных контрактов.</w:t>
      </w:r>
    </w:p>
    <w:p w:rsidR="00A27DF6" w:rsidRDefault="00A27DF6" w:rsidP="00A27DF6">
      <w:pPr>
        <w:pStyle w:val="1e"/>
        <w:numPr>
          <w:ilvl w:val="0"/>
          <w:numId w:val="28"/>
        </w:num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Поставка техники на экспорт остается одной из главных направлений деятельности предприятия. В 2024 году предприятие прогнозирует рост объема отгруженной продукции до 25% (25% из общего объема продукции планируется направить на экспорт).</w:t>
      </w:r>
    </w:p>
    <w:p w:rsidR="00A27DF6" w:rsidRDefault="00A27DF6" w:rsidP="00A27DF6">
      <w:pPr>
        <w:pStyle w:val="1e"/>
        <w:numPr>
          <w:ilvl w:val="0"/>
          <w:numId w:val="28"/>
        </w:num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Ожидаемый объем инвестиций в основной капитал за 2024-2026 гг. составит порядка 762 млн. рублей.</w:t>
      </w:r>
    </w:p>
    <w:p w:rsidR="00A27DF6" w:rsidRDefault="00A27DF6" w:rsidP="00A27DF6">
      <w:pPr>
        <w:pStyle w:val="1e"/>
        <w:numPr>
          <w:ilvl w:val="0"/>
          <w:numId w:val="28"/>
        </w:numPr>
        <w:suppressAutoHyphens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Увеличение объема отгруженных товаров в 2023 году на 10% ожидается и на АО «НПО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Эркон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-</w:t>
      </w:r>
      <w: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ведущий производитель резисторов и чип-индуктивностей в России.</w:t>
      </w:r>
      <w: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Выпускаемая продукция используется в приборах космической, авиационной, радиоэлектронной, автомобильной и другой техники. </w:t>
      </w:r>
    </w:p>
    <w:p w:rsidR="00A27DF6" w:rsidRDefault="00A27DF6" w:rsidP="00A27DF6">
      <w:pPr>
        <w:pStyle w:val="1e"/>
        <w:numPr>
          <w:ilvl w:val="0"/>
          <w:numId w:val="28"/>
        </w:num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2023 году предприятием были разработаны новые чип-резисторы, адаптированные к требованиям стандарта AEC-Q200 и нормам экологических директив по ограничению содержания вредных веществ.  Резисторы предназначены для защиты чувствительных современных электронных схем от высоковольтных переходных процессов (коротких - вызванных, ударом молнии и более длинных перегрузок - из-за прямого подключения к линии), используются для защиты телекоммуникационного оборудования, в автоматических выключателях и других сферах.</w:t>
      </w:r>
    </w:p>
    <w:p w:rsidR="00A27DF6" w:rsidRDefault="00A27DF6" w:rsidP="00A27DF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пищевых продуктов в 2023 году объем отгруженной продукции оценивается в 49,2 млрд. рублей, рост в сопоставимых ценах – 102,2%, к уровню прошлого года. К 2024 году объем отгрузки составит 51,5 млрд. рублей (в сопоставимых ценах -100,8%).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Ведущими предприятиями данного вида деятельности являются: АО </w:t>
      </w:r>
      <w:r>
        <w:rPr>
          <w:rFonts w:ascii="Times New Roman" w:hAnsi="Times New Roman"/>
          <w:bCs/>
          <w:sz w:val="28"/>
          <w:szCs w:val="28"/>
        </w:rPr>
        <w:t>«Нижегородский молочный завод №1» (производство питьевого молока и питьевых сливок);</w:t>
      </w:r>
      <w:r>
        <w:rPr>
          <w:rFonts w:ascii="Times New Roman" w:hAnsi="Times New Roman"/>
          <w:sz w:val="28"/>
          <w:szCs w:val="28"/>
        </w:rPr>
        <w:t xml:space="preserve"> АО «Нижегородский масло-жировой комбинат» (производство маргариновой </w:t>
      </w:r>
      <w:r>
        <w:rPr>
          <w:rFonts w:ascii="Times New Roman" w:hAnsi="Times New Roman"/>
          <w:sz w:val="28"/>
          <w:szCs w:val="28"/>
        </w:rPr>
        <w:lastRenderedPageBreak/>
        <w:t xml:space="preserve">продукции); </w:t>
      </w:r>
      <w:r>
        <w:rPr>
          <w:rFonts w:ascii="Times New Roman" w:hAnsi="Times New Roman"/>
          <w:bCs/>
          <w:sz w:val="28"/>
          <w:szCs w:val="28"/>
        </w:rPr>
        <w:t>АО «Хлеб»; АО «Каравай»; ООО «</w:t>
      </w:r>
      <w:proofErr w:type="spellStart"/>
      <w:r>
        <w:rPr>
          <w:rFonts w:ascii="Times New Roman" w:hAnsi="Times New Roman"/>
          <w:bCs/>
          <w:sz w:val="28"/>
          <w:szCs w:val="28"/>
        </w:rPr>
        <w:t>Юнис</w:t>
      </w:r>
      <w:proofErr w:type="spellEnd"/>
      <w:r>
        <w:rPr>
          <w:rFonts w:ascii="Times New Roman" w:hAnsi="Times New Roman"/>
          <w:bCs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>производство хлеба и мучных кондитерских изделий, тортов и пирожных недлительного хранения); ЗАО «</w:t>
      </w:r>
      <w:proofErr w:type="spellStart"/>
      <w:r>
        <w:rPr>
          <w:rFonts w:ascii="Times New Roman" w:hAnsi="Times New Roman"/>
          <w:sz w:val="28"/>
          <w:szCs w:val="28"/>
        </w:rPr>
        <w:t>Сормовская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кондитерская фабрика» (производство шоколада и сахаристых кондитерских изделий); ООО «Эхо» (переработка и консервирование картофеля) и прочие.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АО </w:t>
      </w:r>
      <w:r>
        <w:rPr>
          <w:rFonts w:ascii="Times New Roman" w:hAnsi="Times New Roman"/>
          <w:bCs/>
          <w:sz w:val="28"/>
          <w:szCs w:val="28"/>
        </w:rPr>
        <w:t>«Нижегородски</w:t>
      </w:r>
      <w:r w:rsidR="00DF5B9B">
        <w:rPr>
          <w:rFonts w:ascii="Times New Roman" w:hAnsi="Times New Roman"/>
          <w:bCs/>
          <w:sz w:val="28"/>
          <w:szCs w:val="28"/>
        </w:rPr>
        <w:t xml:space="preserve">й молочный завод №1» в связи с </w:t>
      </w:r>
      <w:r>
        <w:rPr>
          <w:rFonts w:ascii="Times New Roman" w:hAnsi="Times New Roman"/>
          <w:bCs/>
          <w:sz w:val="28"/>
          <w:szCs w:val="28"/>
        </w:rPr>
        <w:t xml:space="preserve">завершением инвестиционного проекта по модернизации, реконструкции и строительства выходит на производственную мощность, предполагающую объем переработки молока 300 </w:t>
      </w:r>
      <w:proofErr w:type="spellStart"/>
      <w:r>
        <w:rPr>
          <w:rFonts w:ascii="Times New Roman" w:hAnsi="Times New Roman"/>
          <w:bCs/>
          <w:sz w:val="28"/>
          <w:szCs w:val="28"/>
        </w:rPr>
        <w:t>тн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 сутки. В 2023 году предприятие планирует увеличить в 1,6-2,4 раза производство сметаны и творога, в 3,9 раза – производство пастеризованного питьевого молока. В целом, предприятие ожидает рост объема отгруженных товаров на 117,2%. В среднесрочной перспективе предприятие планирует увеличивать объемы отгруженной продукции до 102,9-104% ежегодно.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Ожидаемый объем инвестиций в основной капитал за 2023-2026 гг. составит порядка 550 млн. рублей.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АО «Хлеб», АО «Каравай», занимающиеся</w:t>
      </w:r>
      <w:r>
        <w:rPr>
          <w:rFonts w:ascii="Times New Roman" w:hAnsi="Times New Roman"/>
          <w:sz w:val="28"/>
          <w:szCs w:val="28"/>
        </w:rPr>
        <w:t xml:space="preserve"> производством хлебобулочных изделий, планируют увеличивать объем отгруженны</w:t>
      </w:r>
      <w:r w:rsidR="00DF5B9B">
        <w:rPr>
          <w:rFonts w:ascii="Times New Roman" w:hAnsi="Times New Roman"/>
          <w:sz w:val="28"/>
          <w:szCs w:val="28"/>
        </w:rPr>
        <w:t xml:space="preserve">х товаров в прогнозном периоде </w:t>
      </w:r>
      <w:r>
        <w:rPr>
          <w:rFonts w:ascii="Times New Roman" w:hAnsi="Times New Roman"/>
          <w:sz w:val="28"/>
          <w:szCs w:val="28"/>
        </w:rPr>
        <w:t>на 2,8 - 3% ежегодно.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в планах АО «Нижегородский </w:t>
      </w:r>
      <w:proofErr w:type="gramStart"/>
      <w:r>
        <w:rPr>
          <w:sz w:val="28"/>
          <w:szCs w:val="28"/>
        </w:rPr>
        <w:t>масло-жировой</w:t>
      </w:r>
      <w:proofErr w:type="gramEnd"/>
      <w:r>
        <w:rPr>
          <w:sz w:val="28"/>
          <w:szCs w:val="28"/>
        </w:rPr>
        <w:t xml:space="preserve"> комбинат» завершить реализацию следующих инвестиционных проектов: приобретение и монтаж </w:t>
      </w:r>
      <w:r>
        <w:rPr>
          <w:sz w:val="28"/>
          <w:szCs w:val="28"/>
          <w:lang w:val="en-US"/>
        </w:rPr>
        <w:t>CIP</w:t>
      </w:r>
      <w:r>
        <w:rPr>
          <w:sz w:val="28"/>
          <w:szCs w:val="28"/>
        </w:rPr>
        <w:t xml:space="preserve"> станции на участок соусов; технологической линии по производству соусов </w:t>
      </w:r>
      <w:r>
        <w:rPr>
          <w:sz w:val="28"/>
          <w:szCs w:val="28"/>
          <w:lang w:val="en-US"/>
        </w:rPr>
        <w:t>Bulk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en-US"/>
        </w:rPr>
        <w:t>FS</w:t>
      </w:r>
      <w:r>
        <w:rPr>
          <w:sz w:val="28"/>
          <w:szCs w:val="28"/>
        </w:rPr>
        <w:t xml:space="preserve">. В </w:t>
      </w:r>
      <w:r>
        <w:rPr>
          <w:bCs/>
          <w:sz w:val="28"/>
          <w:szCs w:val="28"/>
        </w:rPr>
        <w:t>2024-2026 гг.</w:t>
      </w:r>
      <w:r>
        <w:rPr>
          <w:sz w:val="28"/>
          <w:szCs w:val="28"/>
        </w:rPr>
        <w:t xml:space="preserve">  предприятие планирует увеличение объема отгруженных товаров на 4-4,9% ежегодно. О</w:t>
      </w:r>
      <w:r>
        <w:rPr>
          <w:bCs/>
          <w:sz w:val="28"/>
          <w:szCs w:val="28"/>
        </w:rPr>
        <w:t>бъем инвестиций в основной капитал на прогнозный период планируется в размере 600 млн. рублей.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прочей неметаллической минеральной продукции объем отгруженной продукции в 2023 году оценивается в 10,6 млрд. рублей, в сопоставимых ценах - 105,5%. К 2024 году объем отгрузки составит 10,8 млрд. рублей (в сопоставимых ценах – 97,7%).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Динамика развития данной отрасли определяется уровнем экономических показателей предприятий: ООО «Объединенные заводы строительных конструкций» (ООО «ОЗСК»); ООО «Сложные железобетонные конструкции»; ООО «</w:t>
      </w:r>
      <w:proofErr w:type="spellStart"/>
      <w:r>
        <w:rPr>
          <w:sz w:val="28"/>
          <w:szCs w:val="28"/>
        </w:rPr>
        <w:t>Спецпромстрой</w:t>
      </w:r>
      <w:proofErr w:type="spellEnd"/>
      <w:r>
        <w:rPr>
          <w:sz w:val="28"/>
          <w:szCs w:val="28"/>
        </w:rPr>
        <w:t>» (производство изделий из бетона для использования в строительстве) и прочие.</w:t>
      </w:r>
    </w:p>
    <w:p w:rsidR="00A27DF6" w:rsidRDefault="00A27DF6" w:rsidP="00A27DF6">
      <w:pPr>
        <w:pStyle w:val="af7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объема отгруженных товаров в 2023 году на 22,5% ожидается на ООО «ОЗСК» - одном из ведущих производителей железобетонных изделий, бетона и элементов мощения. В среднесрочной перспективе предприятие планирует сохранить объем отгруженной продукции на уровне 2023 года.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Основными направлениями деятельности АО «</w:t>
      </w:r>
      <w:proofErr w:type="spellStart"/>
      <w:r>
        <w:rPr>
          <w:sz w:val="28"/>
          <w:szCs w:val="28"/>
        </w:rPr>
        <w:t>Спецпромстрой</w:t>
      </w:r>
      <w:proofErr w:type="spellEnd"/>
      <w:r>
        <w:rPr>
          <w:sz w:val="28"/>
          <w:szCs w:val="28"/>
        </w:rPr>
        <w:t>» также являются изготовление стандартных и индивидуальных железобетонных изделий, товарных бетонов и растворов.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В текущем и прогнозном периоде предприятием продолжится реконструкция и модернизация производства. В 2023 году введен в эксплуатацию универсальный стенд для производства железобетонных изделий. В планах предприятия разработать проект по модернизации системы отопления производственных цехов. 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>Кроме того, совместно с Федеральным центром компетенций в сфере производительности труда было проведено обучение по программе «Бережливое производство». В 2023 году по итогам данного проекта в цехах основного производства была внедрена оптимизация потоков по производству продукции.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 прогнозном периоде предприятие планирует увеличивать объемы отгруженной продукции до 102,5-105,8% ежегодно.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химических веществ и химических продуктов объем отгруженной продукции в 2023 году оценивается в 28,3 млрд. рублей, в действующих ценах – 98,2% (в сопоставимых ценах составит 103,4%). К 2024 году объем отгрузки составит 30,7 млрд. рублей (рост на 2,7% в сопоставимых ценах).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объемы производства данного сектора обеспечивают: АО Управляющая компания БХХ «</w:t>
      </w:r>
      <w:proofErr w:type="spellStart"/>
      <w:r>
        <w:rPr>
          <w:sz w:val="28"/>
          <w:szCs w:val="28"/>
        </w:rPr>
        <w:t>Оргхим</w:t>
      </w:r>
      <w:proofErr w:type="spellEnd"/>
      <w:r>
        <w:rPr>
          <w:sz w:val="28"/>
          <w:szCs w:val="28"/>
        </w:rPr>
        <w:t>»; ЗАО «Нижегородские сорбенты»; ООО «Ваше хозяйство» (производство прочих химических продуктов, не включенных в другие группировки) и другие.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Управляющая компания БХХ «</w:t>
      </w:r>
      <w:proofErr w:type="spellStart"/>
      <w:r>
        <w:rPr>
          <w:sz w:val="28"/>
          <w:szCs w:val="28"/>
        </w:rPr>
        <w:t>Оргхим</w:t>
      </w:r>
      <w:proofErr w:type="spellEnd"/>
      <w:r>
        <w:rPr>
          <w:sz w:val="28"/>
          <w:szCs w:val="28"/>
        </w:rPr>
        <w:t>» в 2023 году планирует увеличить на 34-35% производство пластификаторов и скипидарной продукции, а также на 15,7% - производство эмульгаторов. В 2024 году предприятие планирует увеличить объем своей продукции до 30%.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2024-2026 гг. составит порядка 600 млн. рублей.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«Нижегородские сорбенты» входит в десятку ведущих российских производителей катализаторов, цеолитов и адсорбентов для нефтегазовой, нефтеперерабатывающей и нефтехимической промышленности. Предприятие принимает активное участие в государственных программах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>, выпуская продукцию, соответствующую действующим стандартам качества.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ЗАО «Нижегородские сорбенты» планирует выполнение заказов для вертикально-интегрированных нефтегазовых компаний, осуществляющих добычу, транспортировку и переработку нефти и газа, а также реализацию нефтепродуктов: компаний «</w:t>
      </w:r>
      <w:proofErr w:type="spellStart"/>
      <w:r>
        <w:rPr>
          <w:sz w:val="28"/>
          <w:szCs w:val="28"/>
        </w:rPr>
        <w:t>Сибур</w:t>
      </w:r>
      <w:proofErr w:type="spellEnd"/>
      <w:r>
        <w:rPr>
          <w:sz w:val="28"/>
          <w:szCs w:val="28"/>
        </w:rPr>
        <w:t>», ОАО «</w:t>
      </w:r>
      <w:proofErr w:type="spellStart"/>
      <w:r>
        <w:rPr>
          <w:sz w:val="28"/>
          <w:szCs w:val="28"/>
        </w:rPr>
        <w:t>Мозырский</w:t>
      </w:r>
      <w:proofErr w:type="spellEnd"/>
      <w:r>
        <w:rPr>
          <w:sz w:val="28"/>
          <w:szCs w:val="28"/>
        </w:rPr>
        <w:t xml:space="preserve"> НПЗ» (Белоруссия), компаний «Лукойл», «Газпром нефть».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среднесрочной перспективе предприятие планирует увеличивать объемы отгруженной продукции до 104-104,9% ежегодно.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бумаги и бумажных изделий по итогам 2023 года объем отгруженной продукции оценивается в 25,6 млрд. рублей, в сопоставимых ценах -  89,5%. К 2024 году планируется увеличение объемов отгруженной продукции до 27,4 млрд. рублей (рост на 2,7% в сопоставимых ценах).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крупными предприятиями в данном секторе являются: ООО «</w:t>
      </w:r>
      <w:proofErr w:type="spellStart"/>
      <w:r>
        <w:rPr>
          <w:sz w:val="28"/>
          <w:szCs w:val="28"/>
        </w:rPr>
        <w:t>Нижкартон</w:t>
      </w:r>
      <w:proofErr w:type="spellEnd"/>
      <w:r>
        <w:rPr>
          <w:sz w:val="28"/>
          <w:szCs w:val="28"/>
        </w:rPr>
        <w:t>» (производство гофрированной бумаги и картона, бумажной и картонной тары); ООО «</w:t>
      </w:r>
      <w:proofErr w:type="spellStart"/>
      <w:r>
        <w:rPr>
          <w:sz w:val="28"/>
          <w:szCs w:val="28"/>
        </w:rPr>
        <w:t>Хайджин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текнолоджиз</w:t>
      </w:r>
      <w:proofErr w:type="spellEnd"/>
      <w:r>
        <w:rPr>
          <w:sz w:val="28"/>
          <w:szCs w:val="28"/>
        </w:rPr>
        <w:t>» (производство бумажных изделий хозяйственно-бытового и санитарно-гигиенического назначения);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(производство изделий из бумаги и картона) и другие.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 xml:space="preserve">» - производит и поставляет картонную упаковку для лекарств и бумажные инструкции по медицинскому применению почти на все основные предприятия фармацевтической отрасли России. 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продуктами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являются: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упаковочные материалы для лекарств;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для </w:t>
      </w:r>
      <w:proofErr w:type="spellStart"/>
      <w:r>
        <w:rPr>
          <w:sz w:val="28"/>
          <w:szCs w:val="28"/>
        </w:rPr>
        <w:t>сериализации</w:t>
      </w:r>
      <w:proofErr w:type="spellEnd"/>
      <w:r>
        <w:rPr>
          <w:sz w:val="28"/>
          <w:szCs w:val="28"/>
        </w:rPr>
        <w:t xml:space="preserve"> (маркировки 2D кодом) и агрегации;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программное обеспечение для маркировки лекарств «</w:t>
      </w:r>
      <w:proofErr w:type="spellStart"/>
      <w:r>
        <w:rPr>
          <w:sz w:val="28"/>
          <w:szCs w:val="28"/>
        </w:rPr>
        <w:t>ПроСалекс</w:t>
      </w:r>
      <w:proofErr w:type="spellEnd"/>
      <w:r>
        <w:rPr>
          <w:sz w:val="28"/>
          <w:szCs w:val="28"/>
        </w:rPr>
        <w:t>»;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интернет-платформа «ОМ.PRO» для </w:t>
      </w:r>
      <w:proofErr w:type="spellStart"/>
      <w:r>
        <w:rPr>
          <w:sz w:val="28"/>
          <w:szCs w:val="28"/>
        </w:rPr>
        <w:t>фармкомпаний</w:t>
      </w:r>
      <w:proofErr w:type="spellEnd"/>
      <w:r>
        <w:rPr>
          <w:sz w:val="28"/>
          <w:szCs w:val="28"/>
        </w:rPr>
        <w:t xml:space="preserve"> (электронная платформа, которая связывает всех производителей лекарств и всех поставщиков упаковочных материалов);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обеспечение 3D-генератор изображений лекарственных препаратов (новое программное обеспечение позволяет мгновенно создавать и передавать на онлайн-площадки и в систему мониторинга движения лекарственных препаратов, объемные изображения упаковок лекарств).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 прогнозном периоде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планирует увеличить объем своей продукции на 10% (на 5% ожидается увеличение производства картонной упаковки и сопроводительной продукции). Ожидаемый объем инвестиций в основной капитал за 2024-2026 гг. составит порядка 450 млн. рублей.</w:t>
      </w:r>
    </w:p>
    <w:p w:rsidR="00A27DF6" w:rsidRDefault="00A27DF6" w:rsidP="00DF5B9B">
      <w:pPr>
        <w:tabs>
          <w:tab w:val="left" w:pos="5103"/>
        </w:tabs>
        <w:jc w:val="center"/>
        <w:rPr>
          <w:sz w:val="28"/>
          <w:szCs w:val="28"/>
        </w:rPr>
      </w:pPr>
    </w:p>
    <w:p w:rsidR="00DF5B9B" w:rsidRPr="00DF5B9B" w:rsidRDefault="00A27DF6" w:rsidP="00DF5B9B">
      <w:pPr>
        <w:numPr>
          <w:ilvl w:val="0"/>
          <w:numId w:val="28"/>
        </w:numPr>
        <w:tabs>
          <w:tab w:val="left" w:pos="5103"/>
        </w:tabs>
        <w:jc w:val="center"/>
        <w:rPr>
          <w:sz w:val="28"/>
          <w:szCs w:val="28"/>
        </w:rPr>
      </w:pPr>
      <w:r>
        <w:rPr>
          <w:iCs/>
          <w:sz w:val="28"/>
          <w:szCs w:val="28"/>
        </w:rPr>
        <w:t xml:space="preserve">Водоснабжение, водоотведение, организация сбора и утилизация отходов, </w:t>
      </w:r>
    </w:p>
    <w:p w:rsidR="00A27DF6" w:rsidRDefault="00A27DF6" w:rsidP="00DF5B9B">
      <w:pPr>
        <w:numPr>
          <w:ilvl w:val="0"/>
          <w:numId w:val="28"/>
        </w:numPr>
        <w:tabs>
          <w:tab w:val="left" w:pos="5103"/>
        </w:tabs>
        <w:jc w:val="center"/>
        <w:rPr>
          <w:sz w:val="28"/>
          <w:szCs w:val="28"/>
        </w:rPr>
      </w:pPr>
      <w:r>
        <w:rPr>
          <w:iCs/>
          <w:sz w:val="28"/>
          <w:szCs w:val="28"/>
        </w:rPr>
        <w:t>деятельность по ликвидации загрязнений</w:t>
      </w:r>
    </w:p>
    <w:p w:rsidR="00A27DF6" w:rsidRDefault="00A27DF6" w:rsidP="00A27DF6">
      <w:pPr>
        <w:numPr>
          <w:ilvl w:val="0"/>
          <w:numId w:val="28"/>
        </w:numPr>
        <w:tabs>
          <w:tab w:val="left" w:pos="5103"/>
        </w:tabs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Отгрузка крупных и средних предприятий данного вида деятельности в 2023 году оценивается на уровне 19,2 млрд. рублей,</w:t>
      </w:r>
      <w:r>
        <w:rPr>
          <w:sz w:val="28"/>
          <w:szCs w:val="28"/>
        </w:rPr>
        <w:t xml:space="preserve"> в сопоставимых ценах 116% к уровню прошлого года.</w:t>
      </w:r>
      <w:r>
        <w:rPr>
          <w:iCs/>
          <w:sz w:val="28"/>
          <w:szCs w:val="28"/>
        </w:rPr>
        <w:t xml:space="preserve"> В 2024 году ее объем прогнозируется на уровне 20,1 млрд. рублей (в сопоставимых ценах – 100%). </w:t>
      </w:r>
    </w:p>
    <w:p w:rsidR="00A27DF6" w:rsidRDefault="00A27DF6" w:rsidP="00A27DF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Работой 2 предприятий (АО «Нижегородский водоканал», ООО «</w:t>
      </w:r>
      <w:r>
        <w:rPr>
          <w:sz w:val="28"/>
          <w:szCs w:val="28"/>
        </w:rPr>
        <w:t>Заводские сети») обеспечивается основной о</w:t>
      </w:r>
      <w:r>
        <w:rPr>
          <w:iCs/>
          <w:sz w:val="28"/>
          <w:szCs w:val="28"/>
        </w:rPr>
        <w:t>бъем производства по данному виду экономической деятельности.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АО «Нижегородский водоканал» </w:t>
      </w:r>
      <w:r>
        <w:rPr>
          <w:iCs/>
          <w:sz w:val="28"/>
          <w:szCs w:val="28"/>
        </w:rPr>
        <w:t>–</w:t>
      </w:r>
      <w:r>
        <w:rPr>
          <w:sz w:val="28"/>
          <w:szCs w:val="28"/>
        </w:rPr>
        <w:t xml:space="preserve"> одно из крупнейших современных предприятий, деятельность которого направлена на обеспечение бесперебойного предоставления абонентам услуг водоснабжения и водоотведения высшего качества.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Приоритетом для данной организации также является соблюдение экологических норм и правил по обеспечению очистки сточных вод, сбрасываемых в бассейн реки Волги.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«Нижегородский водоканал» проводит работу по привлечению средств федерального бюджета в рамках федеральных целевых программ для реконструкции объектов водоснабжения и водоотведения: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1-го Автозаводского напорно</w:t>
      </w:r>
      <w:r w:rsidR="00DF5B9B">
        <w:rPr>
          <w:sz w:val="28"/>
          <w:szCs w:val="28"/>
        </w:rPr>
        <w:t>го коллектора, протяженностью 2</w:t>
      </w:r>
      <w:r>
        <w:rPr>
          <w:sz w:val="28"/>
          <w:szCs w:val="28"/>
        </w:rPr>
        <w:t xml:space="preserve">687 м </w:t>
      </w:r>
      <w:r>
        <w:rPr>
          <w:i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7"/>
          <w:shd w:val="clear" w:color="auto" w:fill="FFFFFF"/>
        </w:rPr>
        <w:t xml:space="preserve">в рамках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с Фондом развития территорий заключен договор займа на сумму 213,8 млн. рублей;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Нижегородской станции аэрации </w:t>
      </w:r>
      <w:r>
        <w:rPr>
          <w:i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7"/>
          <w:shd w:val="clear" w:color="auto" w:fill="FFFFFF"/>
        </w:rPr>
        <w:t>в рамках федерального проекта «Оздоровление Волги» национального проекта «Экология».</w:t>
      </w:r>
      <w:r>
        <w:rPr>
          <w:sz w:val="28"/>
          <w:szCs w:val="28"/>
        </w:rPr>
        <w:t xml:space="preserve"> В отношении </w:t>
      </w:r>
      <w:r>
        <w:rPr>
          <w:sz w:val="28"/>
          <w:szCs w:val="27"/>
          <w:shd w:val="clear" w:color="auto" w:fill="FFFFFF"/>
        </w:rPr>
        <w:t>данного мероприятия</w:t>
      </w:r>
      <w:r>
        <w:rPr>
          <w:sz w:val="28"/>
          <w:szCs w:val="28"/>
        </w:rPr>
        <w:t xml:space="preserve"> по концессионному соглашению одобрена субсидия на финансовое обеспечение затрат. АО «Нижегородский водоканал» </w:t>
      </w:r>
      <w:r>
        <w:rPr>
          <w:sz w:val="28"/>
          <w:szCs w:val="27"/>
          <w:shd w:val="clear" w:color="auto" w:fill="FFFFFF"/>
        </w:rPr>
        <w:t>заключен договор на строительно-монта</w:t>
      </w:r>
      <w:r w:rsidR="00DF5B9B">
        <w:rPr>
          <w:sz w:val="28"/>
          <w:szCs w:val="27"/>
          <w:shd w:val="clear" w:color="auto" w:fill="FFFFFF"/>
        </w:rPr>
        <w:t>жные работы с ФАУ «</w:t>
      </w:r>
      <w:proofErr w:type="spellStart"/>
      <w:r w:rsidR="00DF5B9B">
        <w:rPr>
          <w:sz w:val="28"/>
          <w:szCs w:val="27"/>
          <w:shd w:val="clear" w:color="auto" w:fill="FFFFFF"/>
        </w:rPr>
        <w:t>РосКапСтрой</w:t>
      </w:r>
      <w:proofErr w:type="spellEnd"/>
      <w:r w:rsidR="00DF5B9B">
        <w:rPr>
          <w:sz w:val="28"/>
          <w:szCs w:val="27"/>
          <w:shd w:val="clear" w:color="auto" w:fill="FFFFFF"/>
        </w:rPr>
        <w:t>» на сумму 10</w:t>
      </w:r>
      <w:r>
        <w:rPr>
          <w:sz w:val="28"/>
          <w:szCs w:val="27"/>
          <w:shd w:val="clear" w:color="auto" w:fill="FFFFFF"/>
        </w:rPr>
        <w:t>807,7 млн. рублей;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и реконструкция водопроводной станции «Малиновая гряда»</w:t>
      </w:r>
      <w:r>
        <w:rPr>
          <w:iCs/>
          <w:sz w:val="28"/>
          <w:szCs w:val="28"/>
        </w:rPr>
        <w:t xml:space="preserve"> –</w:t>
      </w:r>
      <w:r>
        <w:rPr>
          <w:sz w:val="28"/>
          <w:szCs w:val="28"/>
        </w:rPr>
        <w:t xml:space="preserve"> в рамках проекта «Развитие южных территорий города для жилищного строительства» одобрено получение бюджетных инвестиций в 2022-2024 гг. на сумму 3 300 млн. рублей. В 2022 году заключен договор для выполнения проектно-изыскательских работ на сумму 127,9 млн. рублей.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Планируемый объем инвестиций в 2023-2027 гг. АО «Нижегородский водоканал» составит порядка 15,2 млрд. рублей.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«Заводские сети» - входит в структуру крупнейшей российской энергетической компании ООО «</w:t>
      </w:r>
      <w:proofErr w:type="spellStart"/>
      <w:r>
        <w:rPr>
          <w:sz w:val="28"/>
          <w:szCs w:val="28"/>
        </w:rPr>
        <w:t>ЕвроСибЭнерго</w:t>
      </w:r>
      <w:proofErr w:type="spellEnd"/>
      <w:r>
        <w:rPr>
          <w:sz w:val="28"/>
          <w:szCs w:val="28"/>
        </w:rPr>
        <w:t>».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значимыми направлениями</w:t>
      </w:r>
      <w:r w:rsidR="00DF5B9B">
        <w:rPr>
          <w:sz w:val="28"/>
          <w:szCs w:val="28"/>
        </w:rPr>
        <w:t xml:space="preserve"> работы в 2024-2026 гг. будут: </w:t>
      </w:r>
      <w:r>
        <w:rPr>
          <w:sz w:val="28"/>
          <w:szCs w:val="28"/>
        </w:rPr>
        <w:t>модернизация оборудования, реконструкция сетей водоснабжения и водоотведения, автоматизация насосных станций, внедрение новых технологий, позволяющих снижать затраты на расходные материалы (реагенты), экологические, страховые платежи, вероятность возникновения чрезвычайных ситуаций, а также оказание новых видов услуг.</w:t>
      </w:r>
    </w:p>
    <w:p w:rsidR="00A27DF6" w:rsidRDefault="00A27DF6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в 2023-2026 гг. ООО «Заводские сети» составит порядка 556,5 млн. рублей.</w:t>
      </w:r>
    </w:p>
    <w:p w:rsidR="008F15F8" w:rsidRDefault="008F15F8" w:rsidP="00A27DF6">
      <w:pPr>
        <w:widowControl w:val="0"/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pStyle w:val="3"/>
        <w:jc w:val="center"/>
        <w:rPr>
          <w:bCs/>
          <w:szCs w:val="28"/>
        </w:rPr>
      </w:pPr>
      <w:r>
        <w:rPr>
          <w:iCs/>
          <w:szCs w:val="28"/>
        </w:rPr>
        <w:t>Обеспечение электрической энергией, газом, паром, кондиционирование воздуха</w:t>
      </w:r>
    </w:p>
    <w:p w:rsidR="00A27DF6" w:rsidRDefault="00A27DF6" w:rsidP="00A27DF6">
      <w:pPr>
        <w:ind w:firstLine="709"/>
        <w:jc w:val="both"/>
        <w:rPr>
          <w:color w:val="943634"/>
          <w:szCs w:val="24"/>
        </w:rPr>
      </w:pP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Энергетика является базовой и наиболее стабильно работающей отраслью промышленности города Нижнего Новгорода. Данный вид экономической деятельности является не только социально-значимым, но и обеспечивает функционирования всех других отраслей экономики. В общем объеме производства промышленного сектора города энергетика занимает порядка 11%.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Отгрузка крупных и средних предприятий данного вида деятельности в 2023 году оценивается на уровне 79,2 млрд. руб., в сопоставимых ценах – 102,9%.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объем прогнозируется на уровне 84,7 млрд. рублей (в сопоставимых ценах – 102,5%).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приоритетом деятельности предприятий, функционирующих в сфере производства и распределения электроэнергии, газа и воды, остается обеспечение надежного, качественного и доступного тепло-, газо- и электроснабжения потребителей на всей территории города.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объемов производства данного сектора будет во многом определяться результатами деятельности следующих предприятий.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 «ВВЭК» - энергетическая компания, которая осуществляет деятельность по эксплуатации объектов электроснабжения Нижегородского, Советского,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Московского, Ленинского,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Канавинского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г. Нижнего Новгорода, находящихся на праве собственности и на праве аренды.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Организацией утверждена и реализуется программа в области энергосбережения и повышения энергетической эффективности на 2022-2026 гг., которая включают в себя целевые показатели в области энергосбережения и повышения энергетической эффективности. За счет реализации данной программы</w:t>
      </w:r>
      <w:r>
        <w:rPr>
          <w:rStyle w:val="FontStyle105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2022 год </w:t>
      </w:r>
      <w:r>
        <w:rPr>
          <w:rStyle w:val="FontStyle105"/>
          <w:sz w:val="28"/>
          <w:szCs w:val="28"/>
        </w:rPr>
        <w:t>достигнута экономия энергоресурсов в размере 4,3 млн. кВт*час, что в денежном выражении эквивалентно 14,4 млн.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надежности и качества оказываемых услуг по передаче электроэнергии, а также внедрения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осуществляется постоянный мониторинг разработок инновационного электрооборудования и материалов ведущих производителей. Наиболее перспективные разработки внедряются как при проведении ремонтов и модернизации существующих электроустановок, так и в новом строительстве объектов электросетей.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Значимыми направлениями развития предприятия в текущем году и в прогнозном периоде будут являться: выполнение капитальных ремонтов сетей электроснабжения, осуществление реконструкции, модернизации, строительство трансформаторных подстанций, кабельных линий электропередачи, установка в распределительных устройствах устройств защиты, автоматики, телемеханики, системы коммерческого и технического учета электроэнергии, принятие в собственность, аренду социально-значимых объектов электросетевого хозяйства Нижегородской области.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2023-2024 гг. </w:t>
      </w:r>
      <w:r>
        <w:rPr>
          <w:rStyle w:val="FontStyle105"/>
          <w:sz w:val="28"/>
          <w:szCs w:val="28"/>
        </w:rPr>
        <w:t>о</w:t>
      </w:r>
      <w:r>
        <w:rPr>
          <w:sz w:val="28"/>
          <w:szCs w:val="28"/>
        </w:rPr>
        <w:t>жидаемый объем инвестиций в основной капитал АО «ВВЭК»</w:t>
      </w:r>
      <w:r>
        <w:rPr>
          <w:rStyle w:val="FontStyle105"/>
          <w:sz w:val="28"/>
          <w:szCs w:val="28"/>
        </w:rPr>
        <w:t xml:space="preserve"> </w:t>
      </w:r>
      <w:r>
        <w:rPr>
          <w:sz w:val="28"/>
          <w:szCs w:val="28"/>
        </w:rPr>
        <w:t>составит порядка 101,2 млн. рублей.</w:t>
      </w:r>
    </w:p>
    <w:p w:rsidR="00A27DF6" w:rsidRDefault="00A27DF6" w:rsidP="00A27DF6">
      <w:pPr>
        <w:tabs>
          <w:tab w:val="left" w:pos="666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поставщиками </w:t>
      </w:r>
      <w:proofErr w:type="spellStart"/>
      <w:r>
        <w:rPr>
          <w:sz w:val="28"/>
          <w:szCs w:val="28"/>
        </w:rPr>
        <w:t>теплоэнергии</w:t>
      </w:r>
      <w:proofErr w:type="spellEnd"/>
      <w:r>
        <w:rPr>
          <w:sz w:val="28"/>
          <w:szCs w:val="28"/>
        </w:rPr>
        <w:t xml:space="preserve"> в Нижнем Новгороде являются ООО «Автозаводская ТЭЦ», ОАО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>», ООО «Теплосети».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«Автозаводская ТЭЦ» является единственным поставщиком тепловой энергии для двух крупнейших - Автозаводского и Ленинского районов Нижнего Новгорода, обеспечивает тепло- и электроснабжение населения, промышленных предприятий, организаций и учреждений бюджетной сферы, других потребителей.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бесперебойной работы станции, надежного теплоснабжения жителей Автозаводского и Ленинского района разработаны мероприятия по модернизации существующих элементов тепловой схемы станции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период 2024 - 2026 гг.: техническое перевооружение энергетических котлов  и водогрейного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газомазутного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котла котельной «Ленинская», системы отопления пиковых котельных, системы горячего водоснабжения с сооружением буферных емкостей горячей воды, системы отопления ТЭЦ-2, создание системы химико-технологического мониторинга водно-химического режима оборудования ТЭЦ-3,4,5, техническое перевооружение подземного газопровода высокого давления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категории «п.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Доскино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Автозавод», выполнение мероприятий по антитеррористической защищенности объектов и другие.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2023-2026 гг. ООО «Автозаводская ТЭЦ» в рамках инвестиционной программы в сфере теплоснабжения </w:t>
      </w:r>
      <w:r>
        <w:rPr>
          <w:rStyle w:val="FontStyle105"/>
          <w:sz w:val="28"/>
          <w:szCs w:val="28"/>
        </w:rPr>
        <w:t>планирует</w:t>
      </w:r>
      <w:r>
        <w:rPr>
          <w:sz w:val="28"/>
          <w:szCs w:val="28"/>
        </w:rPr>
        <w:t xml:space="preserve"> объем инвестиций в основной капитал порядка 956 млн. рублей.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- крупнейший поставщик тепловой энергии в Нижнем Новгороде. На долю компании приходится более 50% объема услуг по обеспечению теплом и горячей водой. Обслуживаемая техническая база предприятия состоит из 112 котельных, 144 центральных тепловых пунктов и тепловых сетей общей протяженностью около 1700 км. 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прогнозном периоде наиболее значимыми направлениями развития предприятия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являются: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теплогенерирующего комплекса;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и оптимизация системы передачи распределения тепловой энергии;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современных методов и технологий водоподготовки и водоочистки сетевой воды от механических примесей и взвешенных веществ;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привлекательности АО «</w:t>
      </w:r>
      <w:proofErr w:type="spellStart"/>
      <w:r>
        <w:rPr>
          <w:rFonts w:ascii="Times New Roman" w:hAnsi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/>
          <w:sz w:val="28"/>
          <w:szCs w:val="28"/>
        </w:rPr>
        <w:t>» как работодателя, работа с ВУЗами;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комфортных условий труда для персонала компании (программа «Быт»);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поддержание собираемости платежей потребителей на уровне 99%;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информационных технологий и систем.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направления «бережливое </w:t>
      </w:r>
      <w:r w:rsidR="00DF5B9B">
        <w:rPr>
          <w:rFonts w:ascii="Times New Roman" w:hAnsi="Times New Roman" w:cs="Times New Roman"/>
          <w:sz w:val="28"/>
          <w:szCs w:val="28"/>
        </w:rPr>
        <w:t>производство» АО «</w:t>
      </w:r>
      <w:proofErr w:type="spellStart"/>
      <w:r w:rsidR="00DF5B9B"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 w:rsidR="00DF5B9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Оптимизация взаимодействия структурных подразделений районов тепловых сетей, аварийно-ремонтной службы, диспетчерской службы и отдела диагностики и неразрушающего контроля по вопросам поиска мест установки повреждений на участях трубопровода. В рамках данного проекта обеспечивается сокращение сроков подготовки к началу работ, общего срока выполнения работ, что позитивно сказывается на снижении технологических потерь.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Оптимизация работ аварийно-ремонтной службы путем установки камер видеонаблюдения на автомобили АРТК (аварийно-ремонтный технический комплекс) аварийно-ремонтной службы для непрерывного наблюдения за процессом производства аварийно-ремонтных работ в режиме реального времени. Данный проект позволяет повысить производительность труда аварийно-ремонтных бригад за счет сокращения сроков выполнения работ и оперативность принятия управленческих решений. 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Внедрение проекта «Эталонная котельная». Проект разработан в целях обеспечения условий привлечения и удержания персонала требуемой квалификации, формирования у работников внутренней мотивации к выполнению поставленных задач, повышения эффективности и производительности труда персонала распределительных тепловых сетей  и служб при эксплуатации оборудования котельных и тепловых сетей, обеспечения своевременного выполнения технического обслуживания и ремонта оборудования объектов в соответствии с графиком планово-предупредительных ремонтов, рационального расходования ресурсов, создания условий для мотивирования персонала на повышение энергосбережения и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работы. В проекте принимают участие 10 мастерских участков.</w:t>
      </w:r>
    </w:p>
    <w:p w:rsidR="00A27DF6" w:rsidRDefault="00A27DF6" w:rsidP="00A27DF6">
      <w:pPr>
        <w:pStyle w:val="1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АО «</w:t>
      </w:r>
      <w:proofErr w:type="spellStart"/>
      <w:r>
        <w:rPr>
          <w:rFonts w:ascii="Times New Roman" w:hAnsi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/>
          <w:sz w:val="28"/>
          <w:szCs w:val="28"/>
        </w:rPr>
        <w:t>» внедряются цифровые технологии и платформенные решения, направленные на повышение эффективности деятельности организации и финансовой устойчивости, осуществляется переход к управлению, основанному на анализе данных, а также на обеспечение информационной безопасности.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Ключевые проекты, запланированные к реализации на период до 2026 года: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единой системы диспетчеризации теплоэнергетических объектов;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системы контроля технико-экономических показателей функционирования источников тепловой энергии;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системы автоматического сбора показаний с общедомовых приборов учета тепловой энергии;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системы управления техническим обслуживанием и ремонтом оборудования;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платформы автоматизации выполнения мероприятий инвестиционной программы;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голосовых и текстовых роботов;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части внедрения отечественных компьютерных систем и программного обеспечения;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«Цифровой работодатель», направленного на повышение лояльности персонала, создание условий для развития и повышения компетенций работников (корпоративный портал и личный кабинет работника, платформа обучения и мотивации).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2023-2026 гг. в рамках инвестиционной программы 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>» планируется объем инвестиций в основной капитал порядка 8,9 млрд. рублей.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введением в отношении 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 xml:space="preserve">» мер ограничительного характера отмечены случаи удорожания запасных частей к оборудованию, увеличение сроков поставки оборудования, </w:t>
      </w:r>
      <w:r w:rsidRPr="008D3BAF">
        <w:rPr>
          <w:rStyle w:val="af3"/>
          <w:color w:val="auto"/>
          <w:sz w:val="28"/>
          <w:szCs w:val="28"/>
          <w:u w:val="none"/>
          <w:shd w:val="clear" w:color="auto" w:fill="FFFFFF"/>
        </w:rPr>
        <w:t>а также</w:t>
      </w:r>
      <w:r w:rsidRPr="008D3BAF">
        <w:rPr>
          <w:sz w:val="28"/>
          <w:szCs w:val="28"/>
        </w:rPr>
        <w:t xml:space="preserve"> </w:t>
      </w:r>
      <w:r>
        <w:rPr>
          <w:sz w:val="28"/>
          <w:szCs w:val="28"/>
        </w:rPr>
        <w:t>вынужденный переход на иное оборудование.</w:t>
      </w:r>
    </w:p>
    <w:p w:rsidR="00A27DF6" w:rsidRDefault="00A27DF6" w:rsidP="00A27DF6">
      <w:pPr>
        <w:suppressAutoHyphens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В условиях санкций 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>» оказываются меры государственной поддержки в соответствии с постановлением Правительства Нижегородс</w:t>
      </w:r>
      <w:r w:rsidR="00DF5B9B">
        <w:rPr>
          <w:sz w:val="28"/>
          <w:szCs w:val="28"/>
        </w:rPr>
        <w:t>кой области от 28 апреля 2023 года</w:t>
      </w:r>
      <w:r>
        <w:rPr>
          <w:sz w:val="28"/>
          <w:szCs w:val="28"/>
        </w:rPr>
        <w:t xml:space="preserve"> №</w:t>
      </w:r>
      <w:r w:rsidR="00DF5B9B">
        <w:rPr>
          <w:sz w:val="28"/>
          <w:szCs w:val="28"/>
        </w:rPr>
        <w:t xml:space="preserve"> </w:t>
      </w:r>
      <w:r>
        <w:rPr>
          <w:sz w:val="28"/>
          <w:szCs w:val="28"/>
        </w:rPr>
        <w:t>366 «Об утверждении региональной программы Нижегородской области «Модернизация систем коммунальной инфраструктуры (2023 - 2027 годы)». Региональная программа предусматривает выделение бюджетного финансирования для капитального ремонта тепловых сетей Нижнего Новгорода в 2023 и 2024 годах.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«Теплосети» производит техническое обслуживание и ремонт муниципальных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на территории Автозаводского и Ленинского районов города, а также тепловых сетей на территории ПАО «ГАЗ».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предприятия является обеспечение безаварийного теплоснабжения и горячего водоснабжения Автозаводского и Ленинского районов города.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задачами предприятия являются: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надежности и качества теплоснабжения путем модернизации изношенных тепловых сетей с применением инновационных достижений в сфере энергосбережения (снижение тепловых потерь), таких как стальные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предизолированные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пенополиминеральной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изоляции, полиэтиленовые трубы в пенополиуретановой изоляции;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системы горячего водоснабжения Автозаводского района для обеспечения нормативной температуры горячего водоснабжения у потребителей в рамках решений, предусмотренных в «Схеме теплоснабжения города Нижнего Новгорода на период до 2030 года»;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сетей теплоснабжения Автозаводского и Ленинского районов для обеспечения возможности подключения к теплоснабжению перспективных жилых массивов;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и диспетчеризация объектов горячего водоснабжения с применением «безлюдных технологий» и внедрением энергосберегающих технологий – установкой частотных приводов на электродвигатели насосов для горячего водоснабжения в тепловых насосных станциях и центральных тепловых пунктах.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2022-2026 гг. ООО «Теплосети» в рамках инвестиционной программы по развитию теплоснабжения Ленинского и Автозаводского районов г. Нижнего Новгорода </w:t>
      </w:r>
      <w:r>
        <w:rPr>
          <w:rStyle w:val="FontStyle105"/>
          <w:sz w:val="28"/>
          <w:szCs w:val="28"/>
        </w:rPr>
        <w:t xml:space="preserve">планирует направить </w:t>
      </w:r>
      <w:r>
        <w:rPr>
          <w:rFonts w:ascii="Times New Roman" w:hAnsi="Times New Roman" w:cs="Times New Roman"/>
          <w:sz w:val="28"/>
          <w:szCs w:val="28"/>
        </w:rPr>
        <w:t>инвестиции на строительство новых и реконструкцию действующих электроэнергетических объектов размере 906,3 млн. рублей.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росту объемов отгрузки данного сектора будет также инвестиционная деятельность следующих предприятий: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Нижегородский ПАО «Т Плюс» - в рамках инвестиционной программы в сфере теплоснабжения в 2023 году объем инвестиций составит 288,8 млн. рублей, также планируется утверждение инвестиционной программы на 2024-2028 гг. с общим объемом инвестиций 565,3 млн. рублей, на прочие мероприятия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ТЭЦ будет направлено 470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млн.рублей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инвестиций.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Специнвестпроект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предоставляющее услуги по передаче электрической энергии, планирует инвестировать в строительство новых и реконструкцию действующих электроэнергетических объектов в 2023 – 2026 гг. -1 215 млн. рублей.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Волгаэнергосбыт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целях исполнения обязательств гарантирующего поставщика по обеспечению учета электроэнергии (мощности), в том числе посредством интеллектуальной системы учёта электроэнергии (мощности), определенных п. 5 ст. 37 Федерального закона от 26.03.2003 № 35-Ф3 «Об электроэнергетике», продолжит реализацию инвестиционной программы «Создание интеллектуальной системы учета электрической энергии в период 2023-2027 гг.». Объем инвестиций составит 347 млн. рублей.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A27DF6" w:rsidRDefault="00A27DF6" w:rsidP="008D3BAF">
      <w:pPr>
        <w:ind w:right="4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Транспортировка и хранение</w:t>
      </w:r>
    </w:p>
    <w:p w:rsidR="00A27DF6" w:rsidRDefault="00A27DF6" w:rsidP="00A27DF6">
      <w:pPr>
        <w:ind w:right="4" w:firstLine="709"/>
        <w:contextualSpacing/>
        <w:jc w:val="both"/>
        <w:rPr>
          <w:color w:val="C00000"/>
          <w:sz w:val="28"/>
          <w:szCs w:val="28"/>
        </w:rPr>
      </w:pP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Транспортная инфраструктура города Нижнего Новгорода представлена воздушным, трубопроводным, водным, железнодорожным и автомобильным транспортом.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ожидаемый объем отгрузки крупными и средними предприятиями по виду деятельности «транспортировка и хранение» составит порядка 222,8 млрд. руб., в сопоставимых ценах – 108,5%. В 2024 году прогнозируется рост объема отгрузки до 241,6 млрд. руб. (в сопоставимых ценах – 103%).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Воздушный транспорт города Нижнего Новгорода представляет АО «Международный аэропорт Нижний Новгород» им. </w:t>
      </w:r>
      <w:proofErr w:type="spellStart"/>
      <w:r>
        <w:rPr>
          <w:sz w:val="28"/>
          <w:szCs w:val="28"/>
        </w:rPr>
        <w:t>В.П.Чкалова</w:t>
      </w:r>
      <w:proofErr w:type="spellEnd"/>
      <w:r>
        <w:rPr>
          <w:sz w:val="28"/>
          <w:szCs w:val="28"/>
        </w:rPr>
        <w:t>». Деятельность данного предприятия направлена на обслуживание внутренних и международных воздушных перевозок пассажиров и грузов. В 2023 году исполнилось 100 лет первому регулярному пассажирскому рейсу Нижний Новгород - Москва. Аэропорт ежегодно расширяет свою полетную программу, открывая новые направления, как на внутренних, так и международных рейсах. В текущем году авиакомпания приступила к выполнению прямых регулярных рейсов в Пермь, Томск, Минск.</w:t>
      </w:r>
    </w:p>
    <w:p w:rsidR="00A27DF6" w:rsidRDefault="00A27DF6" w:rsidP="00A27DF6">
      <w:pPr>
        <w:pStyle w:val="af7"/>
        <w:ind w:left="0" w:firstLine="709"/>
        <w:jc w:val="both"/>
        <w:rPr>
          <w:rFonts w:ascii="Times New Roman , serif" w:hAnsi="Times New Roman , serif"/>
          <w:sz w:val="28"/>
          <w:szCs w:val="28"/>
        </w:rPr>
      </w:pPr>
      <w:r>
        <w:rPr>
          <w:rFonts w:ascii="Times New Roman , serif" w:hAnsi="Times New Roman , serif"/>
          <w:sz w:val="28"/>
          <w:szCs w:val="28"/>
        </w:rPr>
        <w:t>Основными представителями</w:t>
      </w:r>
      <w:r>
        <w:rPr>
          <w:sz w:val="28"/>
          <w:szCs w:val="28"/>
        </w:rPr>
        <w:t xml:space="preserve"> водного</w:t>
      </w:r>
      <w:r>
        <w:rPr>
          <w:rFonts w:ascii="Times New Roman , serif" w:hAnsi="Times New Roman , serif"/>
          <w:sz w:val="28"/>
          <w:szCs w:val="28"/>
        </w:rPr>
        <w:t xml:space="preserve"> транспорта являются: </w:t>
      </w:r>
      <w:r>
        <w:rPr>
          <w:rFonts w:eastAsia="Calibri"/>
          <w:sz w:val="28"/>
          <w:szCs w:val="28"/>
          <w:lang w:val="en-US"/>
        </w:rPr>
        <w:t>AO</w:t>
      </w:r>
      <w:r>
        <w:rPr>
          <w:rFonts w:eastAsia="Calibri"/>
          <w:sz w:val="28"/>
          <w:szCs w:val="28"/>
        </w:rPr>
        <w:t xml:space="preserve"> «Судоходная компания «Волжское пароходство»</w:t>
      </w:r>
      <w:r>
        <w:rPr>
          <w:sz w:val="28"/>
          <w:szCs w:val="28"/>
        </w:rPr>
        <w:t xml:space="preserve"> и АО «ГОТХ».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Приоритетным направлением АО «ГОТХ» является производственная деятельность, а именно транспортная обработка грузов, торговля строительными материалами, деятельность промышленного железнодорожного транспорта. 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фактором обеспечения увеличения объемов производства АО «ГОТХ» на прогнозный период является рост строительной индустрии города. Основными потребителями товаров и услуг предприятия является группа компаний «</w:t>
      </w:r>
      <w:proofErr w:type="spellStart"/>
      <w:r>
        <w:rPr>
          <w:sz w:val="28"/>
          <w:szCs w:val="28"/>
        </w:rPr>
        <w:t>Жилстрой</w:t>
      </w:r>
      <w:proofErr w:type="spellEnd"/>
      <w:r>
        <w:rPr>
          <w:sz w:val="28"/>
          <w:szCs w:val="28"/>
        </w:rPr>
        <w:t>-НН», строительные подрядные организации, а также дорожно-строительные компании.</w:t>
      </w:r>
    </w:p>
    <w:p w:rsidR="00A27DF6" w:rsidRDefault="00A27DF6" w:rsidP="00A27DF6">
      <w:pPr>
        <w:pStyle w:val="af7"/>
        <w:ind w:left="0"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AO</w:t>
      </w:r>
      <w:r>
        <w:rPr>
          <w:rFonts w:eastAsia="Calibri"/>
          <w:sz w:val="28"/>
          <w:szCs w:val="28"/>
        </w:rPr>
        <w:t xml:space="preserve"> «Судоходная компания «Волжское пароходство» (АО «Волга-флот») </w:t>
      </w:r>
      <w:r>
        <w:rPr>
          <w:rFonts w:eastAsia="Calibri"/>
          <w:bCs/>
          <w:sz w:val="28"/>
          <w:szCs w:val="28"/>
        </w:rPr>
        <w:t>одна из</w:t>
      </w:r>
      <w:r>
        <w:rPr>
          <w:rFonts w:eastAsia="Calibri"/>
          <w:bCs/>
          <w:sz w:val="28"/>
          <w:szCs w:val="28"/>
          <w:lang w:val="en-US"/>
        </w:rPr>
        <w:t> </w:t>
      </w:r>
      <w:r>
        <w:rPr>
          <w:rFonts w:eastAsia="Calibri"/>
          <w:bCs/>
          <w:sz w:val="28"/>
          <w:szCs w:val="28"/>
        </w:rPr>
        <w:t>крупнейших судоходных компаний России (в 2023 году отмечает свое 180-летие), выполняет грузовые перевозки на</w:t>
      </w:r>
      <w:r>
        <w:rPr>
          <w:rFonts w:eastAsia="Calibri"/>
          <w:bCs/>
          <w:sz w:val="28"/>
          <w:szCs w:val="28"/>
          <w:lang w:val="en-US"/>
        </w:rPr>
        <w:t> </w:t>
      </w:r>
      <w:r>
        <w:rPr>
          <w:rFonts w:eastAsia="Calibri"/>
          <w:bCs/>
          <w:sz w:val="28"/>
          <w:szCs w:val="28"/>
        </w:rPr>
        <w:t>внутренних водных путях России в</w:t>
      </w:r>
      <w:r>
        <w:rPr>
          <w:rFonts w:eastAsia="Calibri"/>
          <w:bCs/>
          <w:sz w:val="28"/>
          <w:szCs w:val="28"/>
          <w:lang w:val="en-US"/>
        </w:rPr>
        <w:t> </w:t>
      </w:r>
      <w:r>
        <w:rPr>
          <w:rFonts w:eastAsia="Calibri"/>
          <w:bCs/>
          <w:sz w:val="28"/>
          <w:szCs w:val="28"/>
        </w:rPr>
        <w:t>сообщении «река-море» и на международных морских направлениях.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Железнодорожный транспорт в городе представляет Филиал ОАО «РЖД» Горьковская железная дорога, которая относится к числу самых оснащенных магистралей страны и продолжает наращивать свой технический и технологический потенциал для обеспечения грузовых и пассажирских перевозок, создания комфортных условий для пассажиров.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январе-июне 2023 года пригородными поездами, курсирующими по маршрутам «Городской электрички» в Нижнем Новгороде, воспользовались на 21% больше пассажиров, чем за аналогичный период прошлого года, а скоростными поездами «Ласточка» в сообщении с Нижним Новгородом - на 19%. С 1 июня межрегиональный электропоезд «Ласточка» ежедневно начал курсировать между Нижним Новгородом и Иваново, за три месяца перевезено порядка 31 тыс. пассажиров.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реализация проекта по организации пригородных пассажирских перевозок сообщением Мыза – Кстово. Летом 2024 года планируется запуск прямого сообщения Нижний-Новгород – Симферополь.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Разработано 19 новых маршрутов контейнерных поездов, данное направление работы планируется развивать на период и до 2025 года. 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представителями трубопроводного транспорта города являются ООО «Газпром </w:t>
      </w:r>
      <w:proofErr w:type="spellStart"/>
      <w:r>
        <w:rPr>
          <w:sz w:val="28"/>
          <w:szCs w:val="28"/>
        </w:rPr>
        <w:t>трансгаз</w:t>
      </w:r>
      <w:proofErr w:type="spellEnd"/>
      <w:r>
        <w:rPr>
          <w:sz w:val="28"/>
          <w:szCs w:val="28"/>
        </w:rPr>
        <w:t xml:space="preserve"> Нижний Новгород» и «</w:t>
      </w:r>
      <w:proofErr w:type="spellStart"/>
      <w:r>
        <w:rPr>
          <w:sz w:val="28"/>
          <w:szCs w:val="28"/>
        </w:rPr>
        <w:t>Транснефть</w:t>
      </w:r>
      <w:proofErr w:type="spellEnd"/>
      <w:r>
        <w:rPr>
          <w:sz w:val="28"/>
          <w:szCs w:val="28"/>
        </w:rPr>
        <w:t xml:space="preserve"> - Верхняя Волга».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«Газпром </w:t>
      </w:r>
      <w:proofErr w:type="spellStart"/>
      <w:r>
        <w:rPr>
          <w:sz w:val="28"/>
          <w:szCs w:val="28"/>
        </w:rPr>
        <w:t>трансгаз</w:t>
      </w:r>
      <w:proofErr w:type="spellEnd"/>
      <w:r>
        <w:rPr>
          <w:sz w:val="28"/>
          <w:szCs w:val="28"/>
        </w:rPr>
        <w:t xml:space="preserve"> Нижний Новгород» транспортирует газ по магистральным газопроводам в 15 регионах Приволжского и Центрального федеральных округов. Занимает третье место в ПАО «Газпром» по протяженности эксплуатируемых газопроводов и четвертое по объемам транспортируемого природного газа. В 2023 году завершает проект по реконструкции производственной базы из ремонтных и складских зданий.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филиале АО «</w:t>
      </w:r>
      <w:proofErr w:type="spellStart"/>
      <w:r>
        <w:rPr>
          <w:sz w:val="28"/>
          <w:szCs w:val="28"/>
        </w:rPr>
        <w:t>Транснефть</w:t>
      </w:r>
      <w:proofErr w:type="spellEnd"/>
      <w:r>
        <w:rPr>
          <w:sz w:val="28"/>
          <w:szCs w:val="28"/>
        </w:rPr>
        <w:t>-Верхняя Волга» центр промышленной автоматизации разработал импортозамещающее программное обеспечение (ПО) «Шкипер». ПО предназначено для управления контейнерами приложений на промышленных серверах программно-технических комплексов, контролирующих транспортировку по трубопроводам нефти и нефтепродуктов.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введена в эксплуатацию комплексная автоматизированная система компаундирования (смешения) нефти на нефтеперекачивающей станции «Горький». Новая современная система позволяет регулировать грузопоток в автоматическом режиме в зависимости от качественных характеристик нефти, поступающей из магистральных нефтепроводов. Цель - обеспечение сохранения качественных характеристик нефти, поставляемых на нефтеперерабатывающие заводы России и на экспорт.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транспортной и дорожной инфраструктуры города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улично-дорожной сети (УДС) города Нижнего Новгорода (в том числе Новинского сельсовета) составляет 1 661,6 км.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ремонт автомобильных дорог производится в рамках реализации национального проекта «Безопасные качественные дороги» (БКД), который действует до 2027 года. В программу БКД на период с 2024 по 2027 год включено 49 объектов протяженностью 65,3 км. В рамках проекта ежегодно на автомобильных дорогах города выполняется ремонт порядка 2% дорожного покрытия от общей протяженности УДС.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национального проекта в 2023 году выделено финансирование в размере 971,7 млн. руб. По состоянию на сентябрь 2023 года заключено 4 муниципальных контракта на ремонт 22 участков автомобильных дорог протяженностью 18 км на сумму 930 млн. руб.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bookmarkStart w:id="0" w:name="_Hlk70423540"/>
      <w:bookmarkStart w:id="1" w:name="_Hlk73604629"/>
      <w:bookmarkStart w:id="2" w:name="_Hlk118290229"/>
      <w:r>
        <w:rPr>
          <w:sz w:val="28"/>
          <w:szCs w:val="28"/>
        </w:rPr>
        <w:t xml:space="preserve">В рамках муниципальных контрактов по содержанию улично-дорожной сети города по состоянию на сентябрь 2023 года выполнено 133 </w:t>
      </w:r>
      <w:proofErr w:type="spellStart"/>
      <w:r>
        <w:rPr>
          <w:sz w:val="28"/>
          <w:szCs w:val="28"/>
        </w:rPr>
        <w:t>тыс.</w:t>
      </w:r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ямочного и </w:t>
      </w:r>
      <w:r>
        <w:rPr>
          <w:sz w:val="28"/>
          <w:szCs w:val="28"/>
        </w:rPr>
        <w:lastRenderedPageBreak/>
        <w:t xml:space="preserve">карточного ремонта с целью устранения деформаций и разрушений покрытий автомобильных дорог и обеспечения безопасности дорожного движения. До начала зимнего периода планируется отремонтировать ещё 20 </w:t>
      </w:r>
      <w:proofErr w:type="spellStart"/>
      <w:r>
        <w:rPr>
          <w:sz w:val="28"/>
          <w:szCs w:val="28"/>
        </w:rPr>
        <w:t>тыс.кв.м</w:t>
      </w:r>
      <w:proofErr w:type="spellEnd"/>
      <w:r>
        <w:rPr>
          <w:sz w:val="28"/>
          <w:szCs w:val="28"/>
        </w:rPr>
        <w:t>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развития улично-дорожной сети Нижнего Новгорода и мероприятия по повышению пропускной способности определены «Программой комплексного развития транспортной инфраструктуры» (ПКРТИ). Предусмотрены как первоочередные мероприятия градостроительного характера, так и перспективные предложения по реконструкции автомобильных дорог в целях повышения их безопасности и пропускной способности.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при поддержке областного и федерального бюджетов продолжаются следующие работы, предусмотренные программой ПКРТИ: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дороги, соединяющей пер. Пензенский и ул. Песочную с расширением проезда под железной дорогой на продолжении ул. Ефремова;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подходов к транспортному путепроводу на ул. </w:t>
      </w:r>
      <w:proofErr w:type="spellStart"/>
      <w:r>
        <w:rPr>
          <w:sz w:val="28"/>
          <w:szCs w:val="28"/>
        </w:rPr>
        <w:t>Верхнепечерской</w:t>
      </w:r>
      <w:proofErr w:type="spellEnd"/>
      <w:r>
        <w:rPr>
          <w:sz w:val="28"/>
          <w:szCs w:val="28"/>
        </w:rPr>
        <w:t xml:space="preserve"> (дорога к школе 800);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подъездных путей к объектам новой жилой и деловой застройки (ЖК «</w:t>
      </w:r>
      <w:proofErr w:type="spellStart"/>
      <w:r>
        <w:rPr>
          <w:sz w:val="28"/>
          <w:szCs w:val="28"/>
        </w:rPr>
        <w:t>Анкудиновский</w:t>
      </w:r>
      <w:proofErr w:type="spellEnd"/>
      <w:r>
        <w:rPr>
          <w:sz w:val="28"/>
          <w:szCs w:val="28"/>
        </w:rPr>
        <w:t xml:space="preserve"> парк», ЖК «Новая </w:t>
      </w:r>
      <w:proofErr w:type="spellStart"/>
      <w:r>
        <w:rPr>
          <w:sz w:val="28"/>
          <w:szCs w:val="28"/>
        </w:rPr>
        <w:t>Кузнечиха</w:t>
      </w:r>
      <w:proofErr w:type="spellEnd"/>
      <w:r>
        <w:rPr>
          <w:sz w:val="28"/>
          <w:szCs w:val="28"/>
        </w:rPr>
        <w:t>»).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2024 году планируется начать строительство первого этапа дублера 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-та Гагарина - от </w:t>
      </w:r>
      <w:proofErr w:type="spellStart"/>
      <w:r>
        <w:rPr>
          <w:sz w:val="28"/>
          <w:szCs w:val="28"/>
        </w:rPr>
        <w:t>Анкудиновского</w:t>
      </w:r>
      <w:proofErr w:type="spellEnd"/>
      <w:r>
        <w:rPr>
          <w:sz w:val="28"/>
          <w:szCs w:val="28"/>
        </w:rPr>
        <w:t xml:space="preserve"> ш. до ул. Ларина (с эстакадой) в </w:t>
      </w:r>
      <w:proofErr w:type="spellStart"/>
      <w:r>
        <w:rPr>
          <w:sz w:val="28"/>
          <w:szCs w:val="28"/>
        </w:rPr>
        <w:t>Приокском</w:t>
      </w:r>
      <w:proofErr w:type="spellEnd"/>
      <w:r>
        <w:rPr>
          <w:sz w:val="28"/>
          <w:szCs w:val="28"/>
        </w:rPr>
        <w:t xml:space="preserve"> районе (3,28 км).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содержания УДС города за два года закуплено более 300 единиц специализированной дорожной техники и навесного оборудования. В 2023 году планируется закупка еще 105 единиц техники и оборудования к ней.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Нижнем Новгороде расположено 42 автомобильных моста и путепровода. В настоящее время в неудовлетворительном техническом состоянии находится более 50% сооружений. В числе стратегических целей развития мостового хозяйства стоят повышение качества содержания сооружений со своевременным проведением планово-предупредительных ремонтов, своевременное обновление, капитальный ремонт (реконструкция) и строительство новых транспортных развязок.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национального проекта БКД запущен федеральный проект «Мосты и путепроводы», подготовлена «Программа по восстановлению мостовых сооружений, находящихся в аварийном и предаварийном состоянии, расположенных на сети автомобильных дорог регионального, межмуниципального и местного значения». По указанной программе Нижнему Новгороду в период с 2023 по 2030 год планируется выделение средств на капитальный ремонт искусственных дорожных сооружений.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проводятся работы по капитальному ремонту путепровода на 4 км Московского шоссе через ул. Кузбасскую (срок окончания – октябрь 2024 г.).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данной программы до 2026 года планируется проведение следующих мероприятий: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капитальный ремонт путепровода у </w:t>
      </w:r>
      <w:proofErr w:type="spellStart"/>
      <w:r>
        <w:rPr>
          <w:sz w:val="28"/>
          <w:szCs w:val="28"/>
        </w:rPr>
        <w:t>Мызинского</w:t>
      </w:r>
      <w:proofErr w:type="spellEnd"/>
      <w:r>
        <w:rPr>
          <w:sz w:val="28"/>
          <w:szCs w:val="28"/>
        </w:rPr>
        <w:t xml:space="preserve"> моста (разрабатывается проектная документация);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автодорожного моста через </w:t>
      </w:r>
      <w:proofErr w:type="spellStart"/>
      <w:r>
        <w:rPr>
          <w:sz w:val="28"/>
          <w:szCs w:val="28"/>
        </w:rPr>
        <w:t>Сормовский</w:t>
      </w:r>
      <w:proofErr w:type="spellEnd"/>
      <w:r>
        <w:rPr>
          <w:sz w:val="28"/>
          <w:szCs w:val="28"/>
        </w:rPr>
        <w:t xml:space="preserve"> канал на проспекте Кораблестроителей;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ремонт мостового полотна путепроводов по Московскому шоссе у к/т «Москва» по ул. Новикова-Прибоя через пр-т Ленина.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</w:t>
      </w:r>
      <w:proofErr w:type="spellStart"/>
      <w:r>
        <w:rPr>
          <w:sz w:val="28"/>
          <w:szCs w:val="28"/>
        </w:rPr>
        <w:t>редевелопмента</w:t>
      </w:r>
      <w:proofErr w:type="spellEnd"/>
      <w:r>
        <w:rPr>
          <w:sz w:val="28"/>
          <w:szCs w:val="28"/>
        </w:rPr>
        <w:t xml:space="preserve"> исторического центра Нижнего Новгорода продолжается реализация проекта восстановления и развития исторической территории - район «</w:t>
      </w:r>
      <w:proofErr w:type="spellStart"/>
      <w:r>
        <w:rPr>
          <w:sz w:val="28"/>
          <w:szCs w:val="28"/>
        </w:rPr>
        <w:t>Започаинье</w:t>
      </w:r>
      <w:proofErr w:type="spellEnd"/>
      <w:r>
        <w:rPr>
          <w:sz w:val="28"/>
          <w:szCs w:val="28"/>
        </w:rPr>
        <w:t>». Проект предусматривает комплексное развитие территории, направленное на восстановление исторической среды и вовлечение ее в активную жизнь города.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разделена на 2 этапа. Общая протяженность этапов - 2,7 км. Срок реализации: 2022-2025 годы.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- «Реконструкция автомобильных дорог: улицы Гоголя, Сергиевская, Обозная, Маслякова». Заключен муниципальный контракт «под ключ» на 279,7 млн. руб. Ведутся работы по проверке документации в государственной экспертизе. Получено положительное заключение по ул. Обозная, ул. Маслякова, ул. Гоголя. Срок окончания работ перенесен до 2025 года из-за необходимости синхронизации со 2 этапом работ по улице Ильинской в части перекрытий.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- «Реконструкция автомобильных дорог: улица Ильинская и переулок Плотничный». Заключен муниципальный контракт «под ключ» на 988,1 млн. руб., срок выполнения работ - 30 ноября 2024 года. Завершены работы по сбору исходных данных - технических условий, уточнений, инженерным изысканиям. Ведется разработка проектных решений. На рабочей группе по БДД принято решение по организации 2-стороннего движения по Ильинской с ликвидацией парковочных мест (расширением тротуаров) и одностороннего движения по Плотничному переулку с расширением тротуаров.</w:t>
      </w:r>
    </w:p>
    <w:p w:rsidR="008F15F8" w:rsidRDefault="008F15F8" w:rsidP="00A27DF6">
      <w:pPr>
        <w:ind w:firstLine="709"/>
        <w:jc w:val="both"/>
        <w:rPr>
          <w:sz w:val="28"/>
          <w:szCs w:val="28"/>
        </w:rPr>
      </w:pPr>
    </w:p>
    <w:bookmarkEnd w:id="0"/>
    <w:bookmarkEnd w:id="1"/>
    <w:bookmarkEnd w:id="2"/>
    <w:p w:rsidR="00A27DF6" w:rsidRDefault="00A27DF6" w:rsidP="008F15F8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Городской пассажирский транспорт</w:t>
      </w:r>
    </w:p>
    <w:p w:rsidR="00A30501" w:rsidRDefault="00A30501" w:rsidP="008F15F8">
      <w:pPr>
        <w:jc w:val="center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в настоящее время внутригородские пассажирские перевозки осуществляются автотранспортом, наземным электрическим транспортом, метро.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Нижегородский метрополитен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МП «Нижегородское метро» в 2023 году планирует перевезти около 30 млн. пассажиров.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повышения культуры обслуживания и безопасности производятся работы по устройству наземных крытых павильонов, ремонт и оснащение сходов необходимым оборудованием на станциях «Ленинская» сход №1, «Парк Культуры» сход №1, «Двигатель Революции» сходы №1,3,5,7.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Запланирована замена аккумуляторной батарей на станции </w:t>
      </w:r>
      <w:proofErr w:type="spellStart"/>
      <w:r>
        <w:rPr>
          <w:sz w:val="28"/>
          <w:szCs w:val="28"/>
        </w:rPr>
        <w:t>Канавинская</w:t>
      </w:r>
      <w:proofErr w:type="spellEnd"/>
      <w:r>
        <w:rPr>
          <w:sz w:val="28"/>
          <w:szCs w:val="28"/>
        </w:rPr>
        <w:t xml:space="preserve"> (для обеспечения независимого электропитания и бесперебойной работы станции с прилегающими тоннелями в аварийном режиме). Идет процедура согласования технического задания.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 договор на выполнение работ по капитальному ремонту кровли на станции Буревестник на сумму 14,9 млн. рублей, площадь ремонта составляет 2 013 кв. м.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мероприятия по соблюдению обязательных требований по гражданской обороне, обеспечению транспортной безопасности и усиления антитеррористической защищенности.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Выполнены мероприятия для обеспечения безопасности движения поездов и техническому развитию путевого комплекса: замена ходовых рельсов, шпал, бетонирование опор.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Продолжаются работы по проектированию и строительству метро по объектам «Продление Автозаводской линии метрополитена в г. Нижнем Новгороде от ст. «Горьковская» до ст. «Сенная» (срок - декабрь 2025 г.) и «Продление </w:t>
      </w:r>
      <w:proofErr w:type="spellStart"/>
      <w:r>
        <w:rPr>
          <w:sz w:val="28"/>
          <w:szCs w:val="28"/>
        </w:rPr>
        <w:t>Сормовской</w:t>
      </w:r>
      <w:proofErr w:type="spellEnd"/>
      <w:r>
        <w:rPr>
          <w:sz w:val="28"/>
          <w:szCs w:val="28"/>
        </w:rPr>
        <w:t xml:space="preserve"> линии метрополитена в г. Нижнем Новгороде от ст. «Буревестник» до ст. «</w:t>
      </w:r>
      <w:proofErr w:type="spellStart"/>
      <w:r>
        <w:rPr>
          <w:sz w:val="28"/>
          <w:szCs w:val="28"/>
        </w:rPr>
        <w:t>Сормовская</w:t>
      </w:r>
      <w:proofErr w:type="spellEnd"/>
      <w:r>
        <w:rPr>
          <w:sz w:val="28"/>
          <w:szCs w:val="28"/>
        </w:rPr>
        <w:t>» (срок - декабрь 2026 г.).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сентябрь 2023 года проект по продлению </w:t>
      </w:r>
      <w:proofErr w:type="spellStart"/>
      <w:r>
        <w:rPr>
          <w:sz w:val="28"/>
          <w:szCs w:val="28"/>
        </w:rPr>
        <w:t>Сормовской</w:t>
      </w:r>
      <w:proofErr w:type="spellEnd"/>
      <w:r>
        <w:rPr>
          <w:sz w:val="28"/>
          <w:szCs w:val="28"/>
        </w:rPr>
        <w:t xml:space="preserve"> линии метрополитена находится на стадии разработки проектной документации.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продлению Автозаводской линии от ст. «Горьковская» до ст. «Сенная» осложнены большим количеством коммуникаций и объемом подготовительных работ.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2023 году в полном объеме выполнено устройство ограждающих конструкций стартового котлована под тоннеле-проходческий комплекс.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сентябрь 2023 года: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Площадка 1 (ул. Горького у дома 113/30) -  ведется переустройство сетей (выполнено 80%). 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Площадка 3 (Станция «пл. Свободы») - ведется перекладка инженерных коммуникаций: водопровода, канализации, сетей связи, электроснабжения, теплоснабжения (выполнено 25%).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Площадка 4 (ТЦ «Шоколад») - ведется перекладка инженерных коммуникаций: сетей электроснабжения, газоснабжения, связи (выполнено 52%).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Площадка 6 (пл. Сенная) - ведётся перекладка инженерных коммуникаций: водопровода, теплосетей (выполнено 74%), ведутся работы по разработке стартового котлована, креплению котлована.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Всего на объекте задействовано 210 человек и 26 единиц техники, на сентябрь 2023 года выполнено строительно-монтажных работ на 1,8 млрд. рублей.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в рамках реализации мероприятий по повышению безопасности дорожного движения, предусмотренных муниципальной программой «Развитие дорожной и транспортной инфраструктуры» в 2023-2028 гг., выполнены следующие работы: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2 светофорных объектов: ул. Октябрьской Революции – Парк 1 Мая, ул. Дружбы – ул. Кировская;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ремонт светофорных объектов: ул. Бекетова – ул. </w:t>
      </w:r>
      <w:proofErr w:type="spellStart"/>
      <w:r>
        <w:rPr>
          <w:sz w:val="28"/>
          <w:szCs w:val="28"/>
        </w:rPr>
        <w:t>Заярская</w:t>
      </w:r>
      <w:proofErr w:type="spellEnd"/>
      <w:r>
        <w:rPr>
          <w:sz w:val="28"/>
          <w:szCs w:val="28"/>
        </w:rPr>
        <w:t>, ул. Белинского – ул. Тверская, ул. Циолковского – ул. Черняховского, ул. Родионова – ул. Фруктовая;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светофоров Т.7 на 17 пешеходных переходах в районе образовательных учреждений;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модернизация светофорных объектов на участках ремонта (нацпроект БКД) с прокладкой кабельных линий воздушным способом – 18 шт.;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модернизация светофорных объектов в рамках внедрения интеллектуальной транспортной системы (ИТС) – 20 шт.;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монтаж 604 новых, восстановление и замена 694 дорожных знаков;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нанесение дорожной разметки на улично-дорожной сети города – 120,4 тыс.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>, из них 75% пластиком.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момент начала реализации мероприятий по модернизации светофорных объектов в рамках внедрения ИТС на территории города было оборудовано 505 </w:t>
      </w:r>
      <w:r>
        <w:rPr>
          <w:sz w:val="28"/>
          <w:szCs w:val="28"/>
        </w:rPr>
        <w:lastRenderedPageBreak/>
        <w:t xml:space="preserve">светофорных объектов, из них 124 светофорных объекта были оснащены 3G-терминалами для управления по каналам связи GSM с возможностью введения их в систему координации.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существующая материально-техническая база устарела и не отвечает современным требованиям в области интеллектуального управления транспортными системами городов. Многие из существующих светофорных объектов построены более 30 лет назад и требуют модернизации для соответствия действующим требованиям в области организации и обеспечения безопасности дорожного движения.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году, помимо вышеу</w:t>
      </w:r>
      <w:r w:rsidR="00DF5B9B">
        <w:rPr>
          <w:sz w:val="28"/>
          <w:szCs w:val="28"/>
        </w:rPr>
        <w:t xml:space="preserve">казанных работ по модернизации </w:t>
      </w:r>
      <w:r>
        <w:rPr>
          <w:sz w:val="28"/>
          <w:szCs w:val="28"/>
        </w:rPr>
        <w:t>светофорных объектов, были заключены муниципальные контракты на выполнение работ по разработке проектно-сметной документации по модернизации 42 светофорных объектов на улицах города (25,5 млн. руб.) и планируется к заключению еще на 4 светофорных объекта (2,4 млн. руб.). Срок выполнения работ – 2023 год.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данном этапе подрядчик осуществляет сбор исходных данных, проводит транспортные обследования и инженерные изыскания, проводит их камеральную обработку и подготовку проектных решений по модернизации светофорных объектов. Модернизация запланирована на 2024 и последующие годы.</w:t>
      </w:r>
    </w:p>
    <w:p w:rsidR="008F15F8" w:rsidRDefault="008F15F8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8F15F8">
      <w:pPr>
        <w:jc w:val="center"/>
        <w:rPr>
          <w:sz w:val="28"/>
          <w:szCs w:val="28"/>
        </w:rPr>
      </w:pPr>
      <w:r>
        <w:rPr>
          <w:sz w:val="28"/>
          <w:szCs w:val="28"/>
        </w:rPr>
        <w:t>Почтовая связь</w:t>
      </w:r>
    </w:p>
    <w:p w:rsidR="008F15F8" w:rsidRDefault="008F15F8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widowControl w:val="0"/>
        <w:suppressAutoHyphens/>
        <w:ind w:firstLine="709"/>
        <w:jc w:val="both"/>
        <w:rPr>
          <w:rFonts w:eastAsia="Liberation Mono"/>
          <w:sz w:val="28"/>
          <w:szCs w:val="28"/>
          <w:lang w:eastAsia="zh-CN" w:bidi="hi-IN"/>
        </w:rPr>
      </w:pPr>
      <w:r>
        <w:rPr>
          <w:rFonts w:eastAsia="Liberation Mono"/>
          <w:sz w:val="28"/>
          <w:szCs w:val="28"/>
          <w:lang w:eastAsia="zh-CN" w:bidi="hi-IN"/>
        </w:rPr>
        <w:t>На территории города услуги почтовой связи представляет УФПС Нижегородской области филиала АО «Почта России». Предприятие в рамках реализации своей стратегии развития в 2024-2026 гг. планирует сконцентрировать усилия в направлении повышения качества работы с клиентами и в повышении эффективности работы подразделений почтовой связи.</w:t>
      </w:r>
    </w:p>
    <w:p w:rsidR="00A27DF6" w:rsidRDefault="00A27DF6" w:rsidP="00A27DF6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Основные направления развития в ближайшие годы: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модернизация сети почтовых отделений, в целях повышения качества и скорости почтовых сервисов;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 новых цифровых сервисов, позволяющих получать услуги почтовой связи в режиме онлайн;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новых услуг и сервисов (электронные заказные письма, доставка посылок в </w:t>
      </w:r>
      <w:proofErr w:type="spellStart"/>
      <w:r>
        <w:rPr>
          <w:sz w:val="28"/>
          <w:szCs w:val="28"/>
        </w:rPr>
        <w:t>почтоматы</w:t>
      </w:r>
      <w:proofErr w:type="spellEnd"/>
      <w:r>
        <w:rPr>
          <w:sz w:val="28"/>
          <w:szCs w:val="28"/>
        </w:rPr>
        <w:t xml:space="preserve"> в торговых центрах, аптеках и магазинах, банковские услуги, страхование и пр.).</w:t>
      </w:r>
    </w:p>
    <w:p w:rsidR="00A27DF6" w:rsidRDefault="00A27DF6" w:rsidP="00A27DF6">
      <w:pPr>
        <w:ind w:firstLine="709"/>
        <w:jc w:val="center"/>
        <w:rPr>
          <w:sz w:val="28"/>
          <w:szCs w:val="28"/>
        </w:rPr>
      </w:pPr>
    </w:p>
    <w:p w:rsidR="00A27DF6" w:rsidRDefault="00A27DF6" w:rsidP="00DF5B9B">
      <w:pPr>
        <w:jc w:val="center"/>
        <w:rPr>
          <w:sz w:val="28"/>
          <w:szCs w:val="28"/>
        </w:rPr>
      </w:pPr>
      <w:r>
        <w:rPr>
          <w:sz w:val="28"/>
          <w:szCs w:val="28"/>
        </w:rPr>
        <w:t>Деятельность в области информатизации и связи</w:t>
      </w:r>
    </w:p>
    <w:p w:rsidR="00A27DF6" w:rsidRDefault="00A27DF6" w:rsidP="00A27DF6">
      <w:pPr>
        <w:ind w:firstLine="709"/>
        <w:jc w:val="center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Сфера информационно-коммуникационных технологий обладает высоким потенциалом для интенсивного развития и оказывает возрастающее влияние на различные виды социально-экономической деятельности.  Основными факторами развития данной сферы является постоянное совершенствование цифровых технологий и расширение областей их применения.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тенденции в области </w:t>
      </w:r>
      <w:r w:rsidR="00DF5B9B">
        <w:rPr>
          <w:sz w:val="28"/>
          <w:szCs w:val="28"/>
        </w:rPr>
        <w:t>информатизации в ближайшие годы</w:t>
      </w:r>
      <w:r>
        <w:rPr>
          <w:sz w:val="28"/>
          <w:szCs w:val="28"/>
        </w:rPr>
        <w:t xml:space="preserve"> связаны с созданием и внедрением удобных пользовательских сервисов и интерфейсов, </w:t>
      </w:r>
      <w:proofErr w:type="spellStart"/>
      <w:r>
        <w:rPr>
          <w:sz w:val="28"/>
          <w:szCs w:val="28"/>
        </w:rPr>
        <w:t>цифровизацией</w:t>
      </w:r>
      <w:proofErr w:type="spellEnd"/>
      <w:r>
        <w:rPr>
          <w:sz w:val="28"/>
          <w:szCs w:val="28"/>
        </w:rPr>
        <w:t xml:space="preserve"> государственных и муниципальных услуг, использованием технологий искусственного интеллекта, развитием отечественных технологий и пр.</w:t>
      </w:r>
    </w:p>
    <w:p w:rsidR="00A27DF6" w:rsidRDefault="00A27DF6" w:rsidP="00A27DF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Муниципальная политика в сфере информатизации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val="x-none" w:eastAsia="x-none"/>
        </w:rPr>
        <w:lastRenderedPageBreak/>
        <w:t xml:space="preserve">Основными целями муниципальной политики в сфере информатизации являются увеличение объема электронных сервисов для граждан, которые предусматривают применение новых информационно-коммуникационных технологий, автоматизацию административных процессов и переход к цифровому моделированию, а также повышение уровня информированности граждан о деятельности органов местного самоуправления. 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  <w:lang w:val="x-none" w:eastAsia="x-none"/>
        </w:rPr>
      </w:pPr>
      <w:r>
        <w:rPr>
          <w:color w:val="000000"/>
          <w:sz w:val="28"/>
          <w:szCs w:val="28"/>
          <w:lang w:val="x-none" w:eastAsia="x-none"/>
        </w:rPr>
        <w:t>За 8 месяцев 2023 год</w:t>
      </w:r>
      <w:r>
        <w:rPr>
          <w:color w:val="000000"/>
          <w:sz w:val="28"/>
          <w:szCs w:val="28"/>
          <w:lang w:eastAsia="x-none"/>
        </w:rPr>
        <w:t>а</w:t>
      </w:r>
      <w:r>
        <w:rPr>
          <w:color w:val="000000"/>
          <w:sz w:val="28"/>
          <w:szCs w:val="28"/>
          <w:lang w:val="x-none" w:eastAsia="x-none"/>
        </w:rPr>
        <w:t xml:space="preserve"> населению оказано 660 тыс. муниципальных услуг в электронном виде. </w:t>
      </w:r>
      <w:r>
        <w:rPr>
          <w:sz w:val="28"/>
          <w:szCs w:val="28"/>
          <w:lang w:val="x-none" w:eastAsia="x-none"/>
        </w:rPr>
        <w:t>К 2026 году планируется увеличение доли муниципальных услуг и сервисов, которые предоставляются в электронной форме без необходимости личного посещения муниципального органа, до 45%.</w:t>
      </w: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val="x-none" w:eastAsia="x-none"/>
        </w:rPr>
        <w:t xml:space="preserve">Количество уникальных посетителей сайта администрации города Нижнего Новгорода за 2022 год достигло 1,2 млн. чел., количество просмотров сайта администрации города в 2022 году составило 3,7 млн. 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были реализованы следующие мероприятия: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платформы информационных систем и ресурсов администрации города (платформа «Лобачевский») в части аналитики данных. В результате разработаны и введены в эксплуатацию порядка 30 </w:t>
      </w:r>
      <w:proofErr w:type="spellStart"/>
      <w:r>
        <w:rPr>
          <w:sz w:val="28"/>
          <w:szCs w:val="28"/>
        </w:rPr>
        <w:t>дэшбордов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виджетов</w:t>
      </w:r>
      <w:proofErr w:type="spellEnd"/>
      <w:r>
        <w:rPr>
          <w:sz w:val="28"/>
          <w:szCs w:val="28"/>
        </w:rPr>
        <w:t>), аккумулирующих данных из информационных систем администрации города Нижнего Новгорода и внешних ресурсов. Также созданы и запущены три чат-бота: для сотрудников, работающих с платформой «Лобачевский» и их руководителей, для сотрудников, осуществляющих контроль за объектами строительства, для администраторов проекта «Спорт в каждый двор»;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единой системы контроля управления доступом и оплаты питания в общеобразовательных организациях города Нижнего Новгорода (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 xml:space="preserve">) – расширение географии проекта и его функционала. В рамках проекта 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 xml:space="preserve"> за 8 месяцев 2023 года выдано 8 857 «Карт школьника», подключены 72 школы города, а также в 21 школе установлено оборудование для осуществления контроля доступа (турникеты и электромагнитные замки). До конца года планируется подключить ещё 4 школы. В рамках системы разработан функционал по организации питания в школьных лагерях;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и организация работы в компоненте «</w:t>
      </w:r>
      <w:proofErr w:type="spellStart"/>
      <w:r>
        <w:rPr>
          <w:sz w:val="28"/>
          <w:szCs w:val="28"/>
        </w:rPr>
        <w:t>Госпаблики</w:t>
      </w:r>
      <w:proofErr w:type="spellEnd"/>
      <w:r>
        <w:rPr>
          <w:sz w:val="28"/>
          <w:szCs w:val="28"/>
        </w:rPr>
        <w:t>» единого окна цифровой обратной связи на базе Единого портала государственных и муниципальных услуг (функций) ответственных сотрудников и подведомственных организаций администрации города Нижнего Новгорода. В результате подключены 623 сотрудника из 591 организации, а также создан бот, который распознает QR-код, размещенный на информационных стендах организаций, и перенаправляет на официальную страницу организации в социальной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 автоматизированной информационной системы «Благоустройство» (пилотный проект), предназначенной для автоматической фиксации и обработки сведений о совершенных административных правонарушениях по линии административно-технической инспекции, и направленной, в том числе на снижение количества нарушений правил стоянки транспортных средств на детских, спортивных, хозяйственных площадках, газонах, озелененных территориях, пешеходных дорожках;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техническому сопровождению автоматизированной информационной системы «Прием, диспетчеризация и контроль исполнения заявок </w:t>
      </w:r>
      <w:r>
        <w:rPr>
          <w:sz w:val="28"/>
          <w:szCs w:val="28"/>
        </w:rPr>
        <w:lastRenderedPageBreak/>
        <w:t>жителей в сфере ЖКХ города Нижнего Новгорода» и системы электронного согласования заявок на производство земляных работ и размещение нестационарных торговых объектов;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МИС «Управление имуществом и земельными ресурсами города Нижнего Новгорода», решающей задачи централизации управления городским имуществом и повышения эффективности хранения и обработки данных: разработан личный кабинет арендатора, разработан API (интерфейс) для интеграции с платформой «Интеграционная платформа информационных систем и ресурсов администрации города Нижнего Новгорода» с целью передачи статистической информации.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была продолжена работа по участию в пилотном проекте внедрения технологий «Умного города» при поддержке Министерства строительства и жилищно-коммунального хозяйства Российской Федерации:</w:t>
      </w:r>
    </w:p>
    <w:p w:rsidR="00A27DF6" w:rsidRDefault="00A27DF6" w:rsidP="00A27DF6">
      <w:pPr>
        <w:widowControl w:val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внедрение автоматизированного контроля исполнения заявок потребителей коммунальных услуг, внедрение системы управления городским парковочным пространством и другое;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информационной системы «Согласование разрешительной документации в электронном виде», целью которой является перевод в электронный вид взаимодействия </w:t>
      </w:r>
      <w:proofErr w:type="spellStart"/>
      <w:r>
        <w:rPr>
          <w:sz w:val="28"/>
          <w:szCs w:val="28"/>
        </w:rPr>
        <w:t>ресурсоснабжающих</w:t>
      </w:r>
      <w:proofErr w:type="spellEnd"/>
      <w:r>
        <w:rPr>
          <w:sz w:val="28"/>
          <w:szCs w:val="28"/>
        </w:rPr>
        <w:t xml:space="preserve"> организаций, владельцев сетей и коммуникаций, операторов связи с отраслевыми (функциональными) органами администрации города Нижнего Новгорода в рамках согласования различного типа работ;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собственной команды разработки программного обеспечения на базе автономной некоммерческой организации «Аналитический центр города Нижнего Новгорода», что позволило сократить стоимость и сроки разработки новых информационных систем, ресурсов и сервисов для нужд администрации города Нижнего Новгорода. Это обеспечило экономию муниципального бюджета, а также создание новых рабочих мест в сфере информационных технологий в Нижнем Новгороде.</w:t>
      </w:r>
    </w:p>
    <w:p w:rsidR="00A27DF6" w:rsidRDefault="00A27DF6" w:rsidP="00A27DF6">
      <w:pPr>
        <w:pStyle w:val="af7"/>
        <w:ind w:left="0" w:firstLine="709"/>
        <w:jc w:val="both"/>
        <w:rPr>
          <w:color w:val="000000"/>
          <w:sz w:val="28"/>
          <w:szCs w:val="28"/>
          <w:lang w:val="x-none" w:eastAsia="x-none"/>
        </w:rPr>
      </w:pPr>
      <w:r>
        <w:rPr>
          <w:color w:val="000000"/>
          <w:sz w:val="28"/>
          <w:szCs w:val="28"/>
          <w:lang w:val="x-none" w:eastAsia="x-none"/>
        </w:rPr>
        <w:t>В 2024-2026 годах планируется продолжить работу в следующих направлениях:</w:t>
      </w:r>
    </w:p>
    <w:p w:rsidR="00A27DF6" w:rsidRDefault="00A27DF6" w:rsidP="00A27DF6">
      <w:pPr>
        <w:pStyle w:val="af7"/>
        <w:ind w:left="0" w:firstLine="709"/>
        <w:jc w:val="both"/>
        <w:rPr>
          <w:color w:val="000000"/>
          <w:sz w:val="28"/>
          <w:szCs w:val="28"/>
          <w:lang w:val="x-none" w:eastAsia="x-none"/>
        </w:rPr>
      </w:pPr>
      <w:r>
        <w:rPr>
          <w:color w:val="000000"/>
          <w:sz w:val="28"/>
          <w:szCs w:val="28"/>
          <w:lang w:val="x-none" w:eastAsia="x-none"/>
        </w:rPr>
        <w:t xml:space="preserve">дальнейшее развитие аналитического сегмента платформы «Лобачевский». Поглощение платформой автоматизированной информационной системы «Прием, диспетчеризация и контроль исполнения заявок жителей в сфере ЖКХ города Нижнего Новгорода», присоединение к ней представителей управляющих компаний города. Создание на базе платформы «Лобачевский» мини-приложений </w:t>
      </w:r>
      <w:proofErr w:type="spellStart"/>
      <w:r>
        <w:rPr>
          <w:color w:val="000000"/>
          <w:sz w:val="28"/>
          <w:szCs w:val="28"/>
          <w:lang w:val="x-none" w:eastAsia="x-none"/>
        </w:rPr>
        <w:t>ВКонтакте</w:t>
      </w:r>
      <w:proofErr w:type="spellEnd"/>
      <w:r>
        <w:rPr>
          <w:color w:val="000000"/>
          <w:sz w:val="28"/>
          <w:szCs w:val="28"/>
          <w:lang w:val="x-none" w:eastAsia="x-none"/>
        </w:rPr>
        <w:t xml:space="preserve"> для социальной сети «</w:t>
      </w:r>
      <w:proofErr w:type="spellStart"/>
      <w:r>
        <w:rPr>
          <w:color w:val="000000"/>
          <w:sz w:val="28"/>
          <w:szCs w:val="28"/>
          <w:lang w:val="x-none" w:eastAsia="x-none"/>
        </w:rPr>
        <w:t>ВКонтакте</w:t>
      </w:r>
      <w:proofErr w:type="spellEnd"/>
      <w:r>
        <w:rPr>
          <w:color w:val="000000"/>
          <w:sz w:val="28"/>
          <w:szCs w:val="28"/>
          <w:lang w:val="x-none" w:eastAsia="x-none"/>
        </w:rPr>
        <w:t>»;</w:t>
      </w:r>
    </w:p>
    <w:p w:rsidR="00A27DF6" w:rsidRDefault="00A27DF6" w:rsidP="00A27DF6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дальнейшее подключение городских школ к 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>, реализация в системе и мобильном приложении «</w:t>
      </w:r>
      <w:proofErr w:type="spellStart"/>
      <w:r>
        <w:rPr>
          <w:sz w:val="28"/>
          <w:szCs w:val="28"/>
        </w:rPr>
        <w:t>ШколаНН</w:t>
      </w:r>
      <w:proofErr w:type="spellEnd"/>
      <w:r>
        <w:rPr>
          <w:sz w:val="28"/>
          <w:szCs w:val="28"/>
        </w:rPr>
        <w:t>» возможности оплаты питания и пополнения лицевого счета, внедрение функционала проведения операций в рамках школьных буфетов, реализация функционала бесконтактного прохода через системы контроля доступа;</w:t>
      </w:r>
    </w:p>
    <w:p w:rsidR="00A27DF6" w:rsidRDefault="00A27DF6" w:rsidP="00A27DF6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ввод в эксплуатацию автоматизированной информационной системы «Благоустройство» и распространение её на все районы города;</w:t>
      </w:r>
    </w:p>
    <w:p w:rsidR="00A27DF6" w:rsidRDefault="00A27DF6" w:rsidP="00A27DF6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официального сайта администрации города Нижнего Новгорода в целях повышения доступности информации для жителей города, а также степени его защиты от внешних угроз;</w:t>
      </w:r>
    </w:p>
    <w:p w:rsidR="00A27DF6" w:rsidRDefault="00A27DF6" w:rsidP="00A27DF6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доработка система электронного согласования заявок на производство земляных работ и размещение нестационарных торговых объектов.</w:t>
      </w:r>
    </w:p>
    <w:p w:rsidR="00DF5B9B" w:rsidRDefault="00DF5B9B" w:rsidP="00A27DF6">
      <w:pPr>
        <w:widowControl w:val="0"/>
        <w:ind w:firstLine="708"/>
        <w:jc w:val="both"/>
        <w:rPr>
          <w:sz w:val="28"/>
          <w:szCs w:val="28"/>
        </w:rPr>
      </w:pPr>
    </w:p>
    <w:p w:rsidR="00A27DF6" w:rsidRDefault="00A27DF6" w:rsidP="00DF5B9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</w:t>
      </w:r>
    </w:p>
    <w:p w:rsidR="00DF5B9B" w:rsidRDefault="00DF5B9B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представителями, осуществляющими на территории города деятельность в области услуг связи, являются Нижегородский филиал ПАО «Ростелеком», Нижегородский филиал ООО Т2</w:t>
      </w:r>
      <w:r w:rsidR="00DF5B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АО «Эр-Телеком Холдинг», филиал ОАО «МТС» в Нижегородской области, Нижегородский филиал ОАО «Мегафон», Нижегородский филиал ОАО «Вымпел-Коммуникации» (торговая марка «Билайн»). 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ПАО «Ростелеком» — крупнейший в России интегрированный провайдер цифровых услуг и решений, признанный технологический лидер в инновационных решениях в области электронного правительства, </w:t>
      </w:r>
      <w:proofErr w:type="spellStart"/>
      <w:r>
        <w:rPr>
          <w:sz w:val="28"/>
          <w:szCs w:val="28"/>
        </w:rPr>
        <w:t>кибербезопасности</w:t>
      </w:r>
      <w:proofErr w:type="spellEnd"/>
      <w:r>
        <w:rPr>
          <w:sz w:val="28"/>
          <w:szCs w:val="28"/>
        </w:rPr>
        <w:t>, дата-центров и облачных вычислений, биометрии, здравоохранения, образования, жилищно-коммунальных услуг.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</w:t>
      </w:r>
      <w:r w:rsidR="00DF5B9B">
        <w:rPr>
          <w:sz w:val="28"/>
          <w:szCs w:val="28"/>
        </w:rPr>
        <w:t xml:space="preserve">оду ПАО «Ростелеком» планирует </w:t>
      </w:r>
      <w:r>
        <w:rPr>
          <w:sz w:val="28"/>
          <w:szCs w:val="28"/>
        </w:rPr>
        <w:t xml:space="preserve">заключить контракт с Центром координации проектов цифровой экономики Нижегородской области на предоставление видеоданных с камер уличного наблюдения, установленных в общественных местах Нижнего Новгорода. </w:t>
      </w:r>
    </w:p>
    <w:p w:rsidR="00A27DF6" w:rsidRDefault="00A27DF6" w:rsidP="00A27DF6">
      <w:pPr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Контракт предусматривает расширение сегмента городского видеонаблюдения в рамках реализации концепции аппаратно-программного комплекса «Безопасный город» в целях предупреждения террористических угроз, защиты городских объектов и обеспечения безопасности граждан. В результате планируется установка в оживленных местах и зонах досуга, в том числе в парках и скверах, на перекрестках и остановках общественного транспорта, 641 комплекса видеонаблюдения. Видеопоток с каждого источника видеоизображения будет передаваться в реальном времени в центр обработки данных Центра координации проектов. Услуга будет оказываться в течение шести лет, начиная с декабря текущего года.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ПАО «Ростелеком» продолжает развивать собственную производственную систему (ПСР), основанную на инструментах и методах бережливого производства. Основными задачами ПСР Ростелеком являются: повышение качества управления, повышение качества процессов, повышение вовлеченности сотрудников в инициативы оптимизации процессов.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</w:t>
      </w:r>
      <w:r w:rsidR="00DF5B9B">
        <w:rPr>
          <w:sz w:val="28"/>
          <w:szCs w:val="28"/>
        </w:rPr>
        <w:t>ыми приоритетами на 2024-2026 г</w:t>
      </w:r>
      <w:r>
        <w:rPr>
          <w:sz w:val="28"/>
          <w:szCs w:val="28"/>
        </w:rPr>
        <w:t>г. ПАО «Ростелеком» будет рост в традиционных и в перспективных направлениях бизнеса, сохранение и расширение роли компании как ключевого партнёра государства в развитии цифровых технологий.</w:t>
      </w:r>
    </w:p>
    <w:p w:rsidR="00A27DF6" w:rsidRDefault="00A27DF6" w:rsidP="00DF5B9B">
      <w:pPr>
        <w:jc w:val="center"/>
        <w:rPr>
          <w:sz w:val="28"/>
          <w:szCs w:val="28"/>
        </w:rPr>
      </w:pPr>
      <w:r>
        <w:rPr>
          <w:sz w:val="28"/>
          <w:szCs w:val="28"/>
        </w:rPr>
        <w:t>Строительство</w:t>
      </w:r>
    </w:p>
    <w:p w:rsidR="00A27DF6" w:rsidRDefault="00A27DF6" w:rsidP="00A27DF6">
      <w:pPr>
        <w:ind w:firstLine="709"/>
        <w:jc w:val="center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2023 году ожидаемый объем строительных работ крупных и средних предприятий составит порядка 33 млрд. руб., в сопоставимых ценах – 131,6% к уровню прошлого года. Прогнозный объем на 2024 год – 35,3 млрд. руб. (в сопоставимых ценах 102,2%).</w:t>
      </w:r>
    </w:p>
    <w:p w:rsidR="00A30501" w:rsidRDefault="00A30501" w:rsidP="00A27DF6">
      <w:pPr>
        <w:ind w:firstLine="709"/>
        <w:jc w:val="both"/>
        <w:rPr>
          <w:bCs/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bCs/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bCs/>
          <w:sz w:val="28"/>
          <w:szCs w:val="28"/>
        </w:rPr>
      </w:pPr>
    </w:p>
    <w:p w:rsidR="00A27DF6" w:rsidRDefault="00A27DF6" w:rsidP="00A30501">
      <w:pPr>
        <w:suppressAutoHyphens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Жилищное строительство</w:t>
      </w:r>
    </w:p>
    <w:p w:rsidR="00A30501" w:rsidRDefault="00A30501" w:rsidP="00A27DF6">
      <w:pPr>
        <w:suppressAutoHyphens/>
        <w:ind w:firstLine="709"/>
        <w:jc w:val="both"/>
        <w:rPr>
          <w:bCs/>
          <w:sz w:val="28"/>
          <w:szCs w:val="28"/>
        </w:rPr>
      </w:pPr>
    </w:p>
    <w:p w:rsidR="00A27DF6" w:rsidRDefault="00A27DF6" w:rsidP="00A27DF6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города Нижнего Новгорода реализуется комплекс мер, направленных на развитие жилищного строительства. Ведется постоянная работа по освобождению земельных участков от прав третьих лиц, подготовке новых территорий развития жилищного строительства и по ряду других социальных программ.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Важнейшим направлением является стимулирование застройщиков: меры поддержки и одновременное развитие инженерной, транспортной и социальной инфраструктуры.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7 месяцев 2023 года введено в эксплуатацию 458,9 </w:t>
      </w:r>
      <w:proofErr w:type="spellStart"/>
      <w:r>
        <w:rPr>
          <w:sz w:val="28"/>
          <w:szCs w:val="28"/>
        </w:rPr>
        <w:t>тыс.кв</w:t>
      </w:r>
      <w:proofErr w:type="spellEnd"/>
      <w:r>
        <w:rPr>
          <w:sz w:val="28"/>
          <w:szCs w:val="28"/>
        </w:rPr>
        <w:t xml:space="preserve">. м жилья (на 27,8% выше аналогичного периода прошлого года), из которых 330,9 в многоквартирных домах (за весь 2022 год введено 384,6 </w:t>
      </w:r>
      <w:proofErr w:type="spellStart"/>
      <w:r>
        <w:rPr>
          <w:sz w:val="28"/>
          <w:szCs w:val="28"/>
        </w:rPr>
        <w:t>тыс.кв</w:t>
      </w:r>
      <w:proofErr w:type="spellEnd"/>
      <w:r>
        <w:rPr>
          <w:sz w:val="28"/>
          <w:szCs w:val="28"/>
        </w:rPr>
        <w:t>. м в многоквартирных домах). Основной объем жилищного строительства выполняется следующими строительными организациями: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Группа компаний «Столица Нижний» (5 специализированных застройщиков) в 2023 году уже сдала 13 домов в ЖК «Новая </w:t>
      </w:r>
      <w:proofErr w:type="spellStart"/>
      <w:r>
        <w:rPr>
          <w:bCs/>
          <w:sz w:val="28"/>
          <w:szCs w:val="28"/>
        </w:rPr>
        <w:t>Кузнечиха</w:t>
      </w:r>
      <w:proofErr w:type="spellEnd"/>
      <w:r>
        <w:rPr>
          <w:bCs/>
          <w:sz w:val="28"/>
          <w:szCs w:val="28"/>
        </w:rPr>
        <w:t xml:space="preserve">» и ЖК «Цветы 2», продолжает строительство еще 15 домов;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ГК «ННДК» (4 СЗ)</w:t>
      </w:r>
      <w:r>
        <w:rPr>
          <w:bCs/>
          <w:sz w:val="28"/>
          <w:szCs w:val="28"/>
        </w:rPr>
        <w:t xml:space="preserve"> сдала 2 дома в ЖК «Корица» и ЖК «Циолковский», продолжает строительство еще 9 домов в различных ЖК, в том числе в новом ЖК «Смородина»;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ГК «Каркас Монолит» (6 СЗ)</w:t>
      </w:r>
      <w:r>
        <w:rPr>
          <w:bCs/>
          <w:sz w:val="28"/>
          <w:szCs w:val="28"/>
        </w:rPr>
        <w:t xml:space="preserve"> сдала клубный дом «</w:t>
      </w:r>
      <w:proofErr w:type="spellStart"/>
      <w:r>
        <w:rPr>
          <w:bCs/>
          <w:sz w:val="28"/>
          <w:szCs w:val="28"/>
        </w:rPr>
        <w:t>Residence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Prime</w:t>
      </w:r>
      <w:proofErr w:type="spellEnd"/>
      <w:r>
        <w:rPr>
          <w:bCs/>
          <w:sz w:val="28"/>
          <w:szCs w:val="28"/>
        </w:rPr>
        <w:t>», продолжает строительство еще 6 домов;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ГК «3S </w:t>
      </w:r>
      <w:proofErr w:type="spellStart"/>
      <w:r>
        <w:rPr>
          <w:bCs/>
          <w:sz w:val="28"/>
          <w:szCs w:val="28"/>
        </w:rPr>
        <w:t>Group</w:t>
      </w:r>
      <w:proofErr w:type="spellEnd"/>
      <w:r>
        <w:rPr>
          <w:bCs/>
          <w:sz w:val="28"/>
          <w:szCs w:val="28"/>
        </w:rPr>
        <w:t xml:space="preserve">» (5 СЗ) сдала дом в ЖК «Новый город» и продолжает строительство 5 объектов в том же ЖК;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ГК «Разумные инвестиции» (5 СЗ) строит 5 домов в различных районах города со сроком сдачи в 2023-2025 годах;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ГК «</w:t>
      </w:r>
      <w:proofErr w:type="spellStart"/>
      <w:r>
        <w:rPr>
          <w:bCs/>
          <w:sz w:val="28"/>
          <w:szCs w:val="28"/>
        </w:rPr>
        <w:t>Жилстрой</w:t>
      </w:r>
      <w:proofErr w:type="spellEnd"/>
      <w:r>
        <w:rPr>
          <w:bCs/>
          <w:sz w:val="28"/>
          <w:szCs w:val="28"/>
        </w:rPr>
        <w:t>-НН» (4 СЗ) сданы 4 объекта в ЖК «Торпедо», строит еще 2 объекта в этом же ЖК;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ГК «Династия» (2 СЗ) продолжает строительство 4 домов в ЖК «Зенит», 1 дом сдан в 2023 году.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Всего на территории города за 8 месяцев 2023 года различными застройщиками введено в эксплуатацию 36 жилых многоквартирных домов, ведется строительство порядка 80 объектов по всему городу с различными сроками сдачи. 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По данным Министерства </w:t>
      </w:r>
      <w:r>
        <w:rPr>
          <w:bCs/>
          <w:sz w:val="28"/>
          <w:szCs w:val="28"/>
        </w:rPr>
        <w:t xml:space="preserve">строительства РФ в настоящее время в городе Нижнем Новгороде 5 проблемных домов - «долгостроев», 3 из них принял в работу «Фонд защиты прав граждан-участников долевого строительства в Нижегородской области», который в 2023 году уже завершил строительство и сдал 2 дома на территории города (ЖК «Солнечный»). </w:t>
      </w:r>
    </w:p>
    <w:p w:rsidR="00A27DF6" w:rsidRDefault="00A27DF6" w:rsidP="00A27DF6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работа по расселению аварийного жилья, в том числе с помощью строительства муниципального жилья.</w:t>
      </w:r>
    </w:p>
    <w:p w:rsidR="00A27DF6" w:rsidRDefault="00A27DF6" w:rsidP="00A27DF6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  <w:shd w:val="clear" w:color="auto" w:fill="FFFFFF"/>
        </w:rPr>
        <w:t xml:space="preserve">расселения жителей дома №17А по улице Краснодонцев </w:t>
      </w:r>
      <w:r>
        <w:rPr>
          <w:sz w:val="28"/>
          <w:szCs w:val="28"/>
        </w:rPr>
        <w:t>за счет средств консолидированного бюджета Нижегородской области строится м</w:t>
      </w:r>
      <w:r>
        <w:rPr>
          <w:bCs/>
          <w:sz w:val="28"/>
          <w:szCs w:val="28"/>
        </w:rPr>
        <w:t xml:space="preserve">ногоквартирный дом №1 (по генплану) по адресу: ул. Героя Васильева, 31, земельный участок №1. </w:t>
      </w:r>
      <w:r>
        <w:rPr>
          <w:sz w:val="28"/>
          <w:szCs w:val="28"/>
        </w:rPr>
        <w:t xml:space="preserve">Срок выполнения проектно-изыскательских и строительно-монтажных работ по условиям муниципального контракта – до 01.12.2023.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расселения нанимателей жилых помещений в рамках реализации мероприятий 4 этапа (2022-2023 гг.) государственной региональной адресной программы «Переселение граждан из аварийного жилищного фонда на территории Нижегородской области на 2019-2023 годы» за счет средств Фонда ЖКХ и консолидированного бюджета Нижегородской области будут построены следующие многоквартирные дома:</w:t>
      </w:r>
    </w:p>
    <w:p w:rsidR="00A27DF6" w:rsidRDefault="00A27DF6" w:rsidP="00A27DF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дом по адресу: ул. Героя Васильева, 33, земельный участок №2;</w:t>
      </w:r>
    </w:p>
    <w:p w:rsidR="00A27DF6" w:rsidRDefault="00A27DF6" w:rsidP="00A27DF6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дом по адресу: ул. </w:t>
      </w:r>
      <w:proofErr w:type="spellStart"/>
      <w:r>
        <w:rPr>
          <w:sz w:val="28"/>
          <w:szCs w:val="28"/>
        </w:rPr>
        <w:t>Дружаева</w:t>
      </w:r>
      <w:proofErr w:type="spellEnd"/>
      <w:r>
        <w:rPr>
          <w:sz w:val="28"/>
          <w:szCs w:val="28"/>
        </w:rPr>
        <w:t>, д.1а (участок 1), земельный участок №1Б.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выполнения проектно-изыскательских и строительно-монтажных работ по условиям муниципальных контрактов – до 10.12.2023.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высокую социальную значимость данных домов, подрядные организации проводят мероприятия с опережением графика, утверждённого муниципальными контрактами.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ввода в эксплуатацию домов, регистрации квартир в муниципальную собственность и заключения соответствующих договоров квартиры будут переданы гражданам.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Министерством строительства Нижегородской области в настоящее время подготовлен проект государственной региональной адресной программы, которой предполагается поэтапное расселение домов в 2024-2028 годах, признанных аварийными в период с 01.01.2017 до 01.01.2022.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таких домов 259 во всех районах города, в которых расположено 3,2 тысяч квартир общей площадью 105,7 </w:t>
      </w:r>
      <w:proofErr w:type="spellStart"/>
      <w:r>
        <w:rPr>
          <w:sz w:val="28"/>
          <w:szCs w:val="28"/>
        </w:rPr>
        <w:t>тыс.кв.м</w:t>
      </w:r>
      <w:proofErr w:type="spellEnd"/>
      <w:r>
        <w:rPr>
          <w:sz w:val="28"/>
          <w:szCs w:val="28"/>
        </w:rPr>
        <w:t xml:space="preserve">. Для выполнения программных показателей потребуется строительство или приобретение не менее 158,7 </w:t>
      </w:r>
      <w:proofErr w:type="spellStart"/>
      <w:r>
        <w:rPr>
          <w:sz w:val="28"/>
          <w:szCs w:val="28"/>
        </w:rPr>
        <w:t>тыс.</w:t>
      </w:r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жилья.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заблаговременно обеспечить формирование и получение земельных участков, проектирование и строительство целого ряда жилых домов.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сохранения привычного уклада жизни</w:t>
      </w:r>
      <w:r>
        <w:rPr>
          <w:spacing w:val="2"/>
          <w:sz w:val="28"/>
          <w:szCs w:val="28"/>
          <w:shd w:val="clear" w:color="auto" w:fill="FFFFFF"/>
        </w:rPr>
        <w:t xml:space="preserve"> жильцов расселяемых домов</w:t>
      </w:r>
      <w:r>
        <w:rPr>
          <w:sz w:val="28"/>
          <w:szCs w:val="28"/>
        </w:rPr>
        <w:t xml:space="preserve"> </w:t>
      </w:r>
      <w:r>
        <w:rPr>
          <w:spacing w:val="2"/>
          <w:sz w:val="28"/>
          <w:szCs w:val="28"/>
          <w:shd w:val="clear" w:color="auto" w:fill="FFFFFF"/>
        </w:rPr>
        <w:t xml:space="preserve">и оптимального распределения нагрузки на социальные объекты (школы, детские сады) </w:t>
      </w:r>
      <w:r>
        <w:rPr>
          <w:sz w:val="28"/>
          <w:szCs w:val="28"/>
        </w:rPr>
        <w:t>необходимо переселение граждан из аварийного жилищного фонда в границах одного района (принцип «волнового переселения»), что требует строительства муниципальных многоквартирных домов в каждом районе города.</w:t>
      </w:r>
    </w:p>
    <w:p w:rsidR="00DF5B9B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7DF6" w:rsidRDefault="00A27DF6" w:rsidP="00DF5B9B">
      <w:pPr>
        <w:widowControl w:val="0"/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Объекты инженерной инфраструктуры</w:t>
      </w:r>
    </w:p>
    <w:p w:rsidR="008F15F8" w:rsidRDefault="008F15F8" w:rsidP="00DF5B9B">
      <w:pPr>
        <w:widowControl w:val="0"/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подпрограммы «Чистая вода» государственной программы «Обеспечение населения Нижегородской области качественными услугами в сфере жилищно-коммунального хозяйства Нижегородской области» в 2023 году завершено строительство водопровода в дер. Новопокровское Советского района.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государственной программы «Развитие жилищного строительства и государственная поддержка граждан по обеспечению жильем на тер</w:t>
      </w:r>
      <w:r w:rsidR="008F15F8">
        <w:rPr>
          <w:sz w:val="28"/>
          <w:szCs w:val="28"/>
        </w:rPr>
        <w:t xml:space="preserve">ритории Нижегородской области» </w:t>
      </w:r>
      <w:r>
        <w:rPr>
          <w:sz w:val="28"/>
          <w:szCs w:val="28"/>
        </w:rPr>
        <w:t>в текущем году завершены мероприятия: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«Строительство сетей газоснабжения в районе д. </w:t>
      </w:r>
      <w:proofErr w:type="spellStart"/>
      <w:r>
        <w:rPr>
          <w:sz w:val="28"/>
          <w:szCs w:val="28"/>
        </w:rPr>
        <w:t>Сысоевка</w:t>
      </w:r>
      <w:proofErr w:type="spellEnd"/>
      <w:r>
        <w:rPr>
          <w:sz w:val="28"/>
          <w:szCs w:val="28"/>
        </w:rPr>
        <w:t xml:space="preserve"> Богородского района Нижегородской области», предназначенных для предоставления многодетным семьям;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«Строительство газопровода в пос. Луч. Строительство газопровода среднего давления от деревни </w:t>
      </w:r>
      <w:proofErr w:type="spellStart"/>
      <w:r>
        <w:rPr>
          <w:sz w:val="28"/>
          <w:szCs w:val="28"/>
        </w:rPr>
        <w:t>Бешенцево</w:t>
      </w:r>
      <w:proofErr w:type="spellEnd"/>
      <w:r>
        <w:rPr>
          <w:sz w:val="28"/>
          <w:szCs w:val="28"/>
        </w:rPr>
        <w:t xml:space="preserve"> до деревни </w:t>
      </w:r>
      <w:proofErr w:type="spellStart"/>
      <w:r>
        <w:rPr>
          <w:sz w:val="28"/>
          <w:szCs w:val="28"/>
        </w:rPr>
        <w:t>Мордвинцево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Приокском</w:t>
      </w:r>
      <w:proofErr w:type="spellEnd"/>
      <w:r>
        <w:rPr>
          <w:sz w:val="28"/>
          <w:szCs w:val="28"/>
        </w:rPr>
        <w:t xml:space="preserve"> районе г. Нижнего Новгорода».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процедура регистрации объектов в муниципальную собственность.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Капитальный ремонт общеобразовательных учреждений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 Нижний Новгород активно включен в работу по реализации государственных программ «Капитальный ремонт образовательных организаций Нижегородской области» утвержденной постановлением Правительства Нижегородской области от 29.03.2019 №180 и «Развитие образования Нижегородской области», утвержденной постановлением Правительства Нижегородской области от 30.04.2014 №301.</w:t>
      </w:r>
    </w:p>
    <w:p w:rsidR="00A27DF6" w:rsidRDefault="00A27DF6" w:rsidP="00A27DF6">
      <w:pPr>
        <w:ind w:firstLine="709"/>
        <w:jc w:val="both"/>
        <w:rPr>
          <w:sz w:val="24"/>
          <w:szCs w:val="24"/>
        </w:rPr>
      </w:pPr>
      <w:r>
        <w:rPr>
          <w:sz w:val="28"/>
          <w:szCs w:val="28"/>
        </w:rPr>
        <w:t>В 2023 году завершены мероприятия по: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>капитальному ремонту кровель МБДОУ «Детский сад №91», МБДОУ «Детский сад №144», МБДОУ «Детский сад №276», МБОУ «Школа №79», МБОУ «Школа №182», МАБОУ «Авторская академическая Школа №186», МБДОУ «Детский сад №136»;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ремонту фасадов МБОУ «Школа №134», МБДОУ «Детский сад №453», МБДОУ «Детский сад №404», МБДОУ «Детский сад №394», МБДОУ «Детский сад №302», МБДОУ «Детский сад №276»; 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благоустройству территорий МБДОУ «Детский сад №177», МБДОУ «Детский сад №231»; 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>отдельным видам ремонта МБДОУ «Детский сад №205», МБОУ «Школа №135».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>В 2023 предусмотрено завершение работ по: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комплексному капитальному ремонту МБОУ «Гимназия №25 им. </w:t>
      </w:r>
      <w:proofErr w:type="spellStart"/>
      <w:r>
        <w:rPr>
          <w:sz w:val="28"/>
          <w:szCs w:val="28"/>
        </w:rPr>
        <w:t>А.С.Пушкина</w:t>
      </w:r>
      <w:proofErr w:type="spellEnd"/>
      <w:r>
        <w:rPr>
          <w:sz w:val="28"/>
          <w:szCs w:val="28"/>
        </w:rPr>
        <w:t>»;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>капитальному ремонту внутренних помещений МБДОУ «Детский сад №302»;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ремонту кровли, фасада, благоустройство территории МАБОУ «Гимназия №2»; </w:t>
      </w: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ремонту кровли МАОУ «Школа №14 им. В.Г. Короленко», МБОУ «Школа №51», МБОУ «Школа №81», МБДОУ «Детский сад №297», МБДОУ «Детский сад №6».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Завершены проектные работы и получены положительные заключения государственной экспертизы по объектам: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капитальный ремонт нежилого помещения с благоустройством прилегающей территории для размещения филиала структурного подразделения Дворца детского творчества им. В.П. Чкалова – Центр компетенции «Дворец рядом с домом»</w:t>
      </w:r>
      <w:r>
        <w:rPr>
          <w:sz w:val="28"/>
          <w:szCs w:val="28"/>
        </w:rPr>
        <w:t>;</w:t>
      </w:r>
    </w:p>
    <w:p w:rsidR="00A27DF6" w:rsidRDefault="00A27DF6" w:rsidP="00A27DF6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капитальный ремонт здания МБОУ «Школа №48» по ул. Бонч-Бруевича, д.11А;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здания филиала МБУК «Музейно-выставочный центр «Микула» Центр культуры и досуга «Искра» (пос. Березовая Пойма, ул. Лучистая, д. 10).</w:t>
      </w: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30501">
      <w:pPr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Объекты социальной инфраструктуры</w:t>
      </w:r>
    </w:p>
    <w:p w:rsidR="00A30501" w:rsidRDefault="00A30501" w:rsidP="00A27DF6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A27DF6" w:rsidRDefault="00A27DF6" w:rsidP="00A27DF6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2023 году в рамках реализации национального проекта «Демография» получены разрешения на ввод в эксплуатацию и лицензии на осуществление образовательной деятельности следующих объектов: </w:t>
      </w:r>
    </w:p>
    <w:p w:rsidR="00A27DF6" w:rsidRDefault="00A27DF6" w:rsidP="00A27DF6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МАДОУ «Детский сад №184» по </w:t>
      </w:r>
      <w:r>
        <w:rPr>
          <w:bCs/>
          <w:sz w:val="28"/>
          <w:szCs w:val="28"/>
        </w:rPr>
        <w:t>ул. Куйбышева, дом 67А;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МБДОУ «Детский сад №222» по ул. Романтиков, дом 1А;</w:t>
      </w:r>
    </w:p>
    <w:p w:rsidR="00A27DF6" w:rsidRDefault="00A27DF6" w:rsidP="00A27DF6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МБДОУ «Детский сад №233» по ул. Есенина, дом 31А.</w:t>
      </w:r>
    </w:p>
    <w:p w:rsidR="00A27DF6" w:rsidRDefault="00A27DF6" w:rsidP="00A27DF6">
      <w:pPr>
        <w:ind w:firstLine="709"/>
        <w:jc w:val="both"/>
        <w:rPr>
          <w:rStyle w:val="af3"/>
          <w:color w:val="auto"/>
          <w:shd w:val="clear" w:color="auto" w:fill="FFFFFF"/>
        </w:rPr>
      </w:pPr>
      <w:r>
        <w:rPr>
          <w:rStyle w:val="FontStyle12"/>
          <w:szCs w:val="28"/>
        </w:rPr>
        <w:t xml:space="preserve">В рамках национального проекта «Образование» в 2023 году </w:t>
      </w:r>
      <w:r>
        <w:rPr>
          <w:sz w:val="28"/>
          <w:szCs w:val="28"/>
        </w:rPr>
        <w:t xml:space="preserve">получено разрешение на ввод в эксплуатацию </w:t>
      </w:r>
      <w:proofErr w:type="spellStart"/>
      <w:r>
        <w:rPr>
          <w:bCs/>
          <w:sz w:val="28"/>
          <w:szCs w:val="28"/>
        </w:rPr>
        <w:t>пристроя</w:t>
      </w:r>
      <w:proofErr w:type="spellEnd"/>
      <w:r>
        <w:rPr>
          <w:bCs/>
          <w:sz w:val="28"/>
          <w:szCs w:val="28"/>
        </w:rPr>
        <w:t xml:space="preserve"> к зданию МБОУ СОШ №117 </w:t>
      </w:r>
      <w:r w:rsidRPr="00DF5B9B">
        <w:rPr>
          <w:bCs/>
          <w:sz w:val="28"/>
          <w:szCs w:val="28"/>
        </w:rPr>
        <w:t xml:space="preserve">на </w:t>
      </w:r>
      <w:hyperlink r:id="rId12" w:history="1">
        <w:r w:rsidRPr="00DF5B9B">
          <w:rPr>
            <w:rStyle w:val="af3"/>
            <w:color w:val="auto"/>
            <w:sz w:val="28"/>
            <w:szCs w:val="28"/>
            <w:u w:val="none"/>
            <w:shd w:val="clear" w:color="auto" w:fill="FFFFFF"/>
          </w:rPr>
          <w:t>ул. Чайковского, дом 12</w:t>
        </w:r>
      </w:hyperlink>
      <w:r w:rsidRPr="00DF5B9B">
        <w:rPr>
          <w:rStyle w:val="af3"/>
          <w:color w:val="auto"/>
          <w:sz w:val="28"/>
          <w:szCs w:val="28"/>
          <w:u w:val="none"/>
          <w:shd w:val="clear" w:color="auto" w:fill="FFFFFF"/>
        </w:rPr>
        <w:t>.</w:t>
      </w:r>
    </w:p>
    <w:p w:rsidR="00A27DF6" w:rsidRDefault="00A27DF6" w:rsidP="00A27DF6">
      <w:pPr>
        <w:ind w:firstLine="709"/>
        <w:jc w:val="both"/>
        <w:rPr>
          <w:bCs/>
          <w:color w:val="000000"/>
        </w:rPr>
      </w:pPr>
      <w:r>
        <w:rPr>
          <w:sz w:val="28"/>
          <w:szCs w:val="28"/>
        </w:rPr>
        <w:t xml:space="preserve">В рамках реализации национального проекта «Жилье и городская среда» на территории ЖК «Новая </w:t>
      </w:r>
      <w:proofErr w:type="spellStart"/>
      <w:r>
        <w:rPr>
          <w:sz w:val="28"/>
          <w:szCs w:val="28"/>
        </w:rPr>
        <w:t>Кузнечиха</w:t>
      </w:r>
      <w:proofErr w:type="spellEnd"/>
      <w:r>
        <w:rPr>
          <w:sz w:val="28"/>
          <w:szCs w:val="28"/>
        </w:rPr>
        <w:t xml:space="preserve">» завершается строительство «Здания организации начального общего и среднего (полного) общего образования (№36 по генплану)» </w:t>
      </w:r>
      <w:r>
        <w:rPr>
          <w:rFonts w:eastAsia="+mn-ea"/>
          <w:kern w:val="24"/>
          <w:sz w:val="28"/>
          <w:szCs w:val="28"/>
        </w:rPr>
        <w:t>по</w:t>
      </w:r>
      <w:r>
        <w:rPr>
          <w:bCs/>
          <w:sz w:val="28"/>
          <w:szCs w:val="28"/>
        </w:rPr>
        <w:t xml:space="preserve"> ул. Романтиков у дома 10.</w:t>
      </w:r>
      <w:r>
        <w:rPr>
          <w:rStyle w:val="FontStyle12"/>
          <w:szCs w:val="28"/>
        </w:rPr>
        <w:t xml:space="preserve">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Завершены проектные работы на строительство ДОУ по ул. Ванеева у дома №221.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Завершаются проектно-изыскательские работы по строительству 4 </w:t>
      </w:r>
      <w:proofErr w:type="spellStart"/>
      <w:r>
        <w:rPr>
          <w:sz w:val="28"/>
          <w:szCs w:val="28"/>
        </w:rPr>
        <w:t>пристроев</w:t>
      </w:r>
      <w:proofErr w:type="spellEnd"/>
      <w:r>
        <w:rPr>
          <w:sz w:val="28"/>
          <w:szCs w:val="28"/>
        </w:rPr>
        <w:t xml:space="preserve"> к общеобразовательным учреждениям и 1 школы: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МАОУ «Школа №103 с УИОП» (предполагаемая стоимость объекта капитального строительства 981,2 млн. руб.);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«Школа №134» (предполагаемая стоимость 854 млн. руб.);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МАОУ «Школа №55» (предполагаемая стоимость 842 млн. руб.);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«Школа №121» (предполагаемая стоимость 469,4 млн. руб.);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школа в пос. «Березовая Пойма» (предполагаемая стоимость 450 млн. руб.).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заключённых соглашений об участии в социально-экономическом развитии города Нижнего Новгорода инвесторами на безвозмездной основе завершены проектно-изыскательские работы на строительство детских дошкольных учреждений на территории развивающихся жилых комплексов города: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в ЖК «Торпедо»;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в ЖК «Аквамарин»;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в ЖК «Цветы 2»;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в ЖК «Зенит»;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в ЖК «Маршал град»;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№21 по генплану в Советском районе;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ДОУ №42 по генплану в Советском районе.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с целью включения указанных объектов в Федеральную адресную инвестиционную программу на 2024 и последующие годы в адрес министерства образования и науки Нижегородской области направлены паспорта инвестиционных проектов. </w:t>
      </w:r>
    </w:p>
    <w:p w:rsidR="00A27DF6" w:rsidRDefault="00A27DF6" w:rsidP="00A27DF6">
      <w:pPr>
        <w:ind w:firstLine="709"/>
        <w:jc w:val="both"/>
        <w:rPr>
          <w:rStyle w:val="extendedtext-full"/>
        </w:rPr>
      </w:pPr>
    </w:p>
    <w:p w:rsidR="00A27DF6" w:rsidRDefault="00A27DF6" w:rsidP="00DF5B9B">
      <w:pPr>
        <w:jc w:val="center"/>
        <w:rPr>
          <w:rStyle w:val="extendedtext-full"/>
          <w:sz w:val="28"/>
          <w:szCs w:val="28"/>
        </w:rPr>
      </w:pPr>
      <w:r>
        <w:rPr>
          <w:rStyle w:val="extendedtext-full"/>
          <w:sz w:val="28"/>
          <w:szCs w:val="28"/>
        </w:rPr>
        <w:t>1.2. Прогноз финансового результата и инвестиций в основной капитал</w:t>
      </w:r>
    </w:p>
    <w:p w:rsidR="00A27DF6" w:rsidRDefault="00A27DF6" w:rsidP="00A27DF6">
      <w:pPr>
        <w:ind w:firstLine="709"/>
        <w:jc w:val="both"/>
        <w:rPr>
          <w:rStyle w:val="extendedtext-full"/>
          <w:sz w:val="28"/>
          <w:szCs w:val="28"/>
        </w:rPr>
      </w:pPr>
    </w:p>
    <w:p w:rsidR="00A27DF6" w:rsidRDefault="00A27DF6" w:rsidP="00A27DF6">
      <w:pPr>
        <w:ind w:firstLine="709"/>
        <w:jc w:val="both"/>
      </w:pPr>
      <w:r>
        <w:rPr>
          <w:sz w:val="28"/>
          <w:szCs w:val="28"/>
        </w:rPr>
        <w:t xml:space="preserve">В 2023 году экономика города Нижнего Новгорода вернулась к активному восстановительному росту, что демонстрирует постепенную адаптивность к новым реалиям в условиях сохранения международных экономических санкций.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 втором квартале 2023 года фиксируется высокий темп роста прибыли в следующих базовых секторах экономики города: «деятельность профессиональная, научная и техническая» (в 28,3 раза), «обрабатывающие производства» (в 1,8 раз), «обеспечение электрической энергией, газом и паром, кондиционировании воздуха» (на 10%).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также отметить многократный рост прибыли в секторах экономики, занимающих незначительную долю в общем объеме прибыли - «деятельность по операциям с недвижимым имуществом» (в 8,7 раза), «деятельность административная и сопутствующие дополнительные услуги» (в 2,9 раза), «деятельность в области информации и связи» (в 2,9 раза), «деятельность гостиниц и предприятий общественного питания» (в 2,7 раза).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Снижение прибыли произошло в таких базовых секторах, как: «торговля оптовая и розничная; ремонт автотранспортных средств и мотоциклов» (на 4,7%) и «транспортировка и хранение» (на 13,3%), а также в секторах с незначительной долей прибыли: «строительство» (на 36,7%), «предоставление прочих видов услуг» (на 17,2%).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сложившихся тенденций по оценке в 2023 году размер прибыли прибыльных организаций увеличится на 7,1% относительно уровня предыдущего года и составит 224 млрд. рублей, убытки оцениваются в 16,7 млрд. рублей (снижение на 10%), сальдированный финансовый результат 207,3 млрд. рублей.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общей структуре прибыли наибольшую долю занимает прибыль организаций следующих секторов: «обрабатывающие производства», «торговля оптовая и розничная; ремонт автотранспортных средств и мотоциклов», «деятельность профессиональная, научная и техническая», и «обеспечение электрической энергией, газом и паром, кондиционирование воздуха». </w:t>
      </w:r>
    </w:p>
    <w:p w:rsidR="00A27DF6" w:rsidRDefault="00A27DF6" w:rsidP="00A30501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8302" cy="3021495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74" cy="30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Прогнозируется, что к концу 2026 года размер прибыли превысит 266,8 млрд. рублей, убытки составят 15,2 млрд. рублей, сальдированный финансовый результат составит 251,6 млрд. рублей.</w:t>
      </w:r>
      <w:r>
        <w:rPr>
          <w:color w:val="FF0000"/>
          <w:sz w:val="28"/>
          <w:szCs w:val="28"/>
        </w:rPr>
        <w:t xml:space="preserve"> </w:t>
      </w:r>
    </w:p>
    <w:p w:rsidR="00A27DF6" w:rsidRDefault="00A27DF6" w:rsidP="00A27DF6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Темп роста прибыли прибыльных организаций в прогнозируемом периоде ожидается на уровне 106%. Достижение указанных значений обеспечат «обрабатывающие производства», «торговля оптовая и розничная», «обеспечение </w:t>
      </w:r>
      <w:r>
        <w:rPr>
          <w:sz w:val="28"/>
          <w:szCs w:val="28"/>
        </w:rPr>
        <w:lastRenderedPageBreak/>
        <w:t>электрической энергией, газом и паром, кондиционирование воздуха», «транспортировка и хранение».</w:t>
      </w:r>
    </w:p>
    <w:p w:rsidR="00A27DF6" w:rsidRDefault="00A27DF6" w:rsidP="008F15F8">
      <w:pPr>
        <w:suppressAutoHyphens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6780" cy="2838616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1" t="-5463" r="-3978" b="-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10" cy="28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uppressAutoHyphens/>
        <w:ind w:firstLine="709"/>
        <w:jc w:val="both"/>
        <w:rPr>
          <w:noProof/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полугодии 2023 года по инвестициям в основной капитал сложилась положительная динамика практически во всех крупных отраслях. Наибольший рост зафиксирован в отраслях, показавших отрицательную динамику в 2022 году: «деятельность профессиональная, научная и техническая» (почти в 1,5 раза), «транспортировка и хранение» (на 81,8%), а также «обрабатывающая промышленность» (на 36,3%).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2160" cy="388048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44" r="-348" b="-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Рост инвестиций по этим видам деятельности позволил не только компенсировать спад прошлого года, но и обеспечить существенный прирост. Третий год подряд продолжается интенсивный рост по видам деятельности «строительство» (на 75,6%) и «обеспечение электрической энергией, газом и паром; кондиционирование воздуха» (на 54,1%).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структуре инвестиций в основной капитал сохраняется перевес в пользу привлеченных средств (67,3%) над инвестициями за счет собственных (32,7%). В прогнозном периоде ожидается постепенное возвращение к традиционной схеме развития за счет собственных источников.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По-прежнему основной объем инвестиций обеспечивается за счет бюджета (45,6%) благодаря реализации крупных инфраструктурных проектов. Однако доля частны</w:t>
      </w:r>
      <w:r w:rsidR="00DF5B9B">
        <w:rPr>
          <w:sz w:val="28"/>
          <w:szCs w:val="28"/>
        </w:rPr>
        <w:t>х инвестиций понемногу увеличив</w:t>
      </w:r>
      <w:r>
        <w:rPr>
          <w:sz w:val="28"/>
          <w:szCs w:val="28"/>
        </w:rPr>
        <w:t>ается, что говорит об адаптации к текущим экономическим и геополитическим условиям.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оценке объем инвестиций в основной капитал в 2023 году составит 172,4 млрд. рублей, рост по отношению к 2022 году в сопоставимых ценах - 1,7%.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основными секторами экономики, в которые ожидается направление инвестиционных вложений, будут: «государственное управление и обеспечение военной безопасности; социальное обеспечение» (38,1%), «деятельность профессиональная, научная и техническая» (14,3%), «обрабатывающая промышленность» (9,9%) и «транспортировка и хранение (8,2%).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2160" cy="376110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</w:t>
      </w:r>
      <w:proofErr w:type="spellStart"/>
      <w:r>
        <w:rPr>
          <w:sz w:val="28"/>
          <w:szCs w:val="28"/>
        </w:rPr>
        <w:t>санкционные</w:t>
      </w:r>
      <w:proofErr w:type="spellEnd"/>
      <w:r>
        <w:rPr>
          <w:sz w:val="28"/>
          <w:szCs w:val="28"/>
        </w:rPr>
        <w:t xml:space="preserve"> ограничения, ужесточение денежно-кредитной политики и негативный для импорта валютный курс, в прогнозируемом периоде ожидается устойчивый рост инвестиций в основной капитал в 103,4-104,7% в сопоставимых ценах, что позволит к 2026 году достичь объема в 220 млрд. рублей.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2022 года инвестиции из бюджетных источников компенсируют падение частных инвестиций, в дальнейшем действия необходимо направить на восстановление и стимулирование экономической активности.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городе Нижнем Новгороде реализуются различные меры поддержки (на всех уровнях власти), которые содействуют восстановлению инвестиционной активности. В 2023 году Нижегородская область стала участником еще одного проекта - «Сквозной инвестиционный поток», направленного на значительное сокращение сроков и количества документов при запуске инвестиционных </w:t>
      </w:r>
      <w:r>
        <w:rPr>
          <w:bCs/>
          <w:sz w:val="28"/>
          <w:szCs w:val="28"/>
        </w:rPr>
        <w:t>проектов</w:t>
      </w:r>
      <w:r>
        <w:rPr>
          <w:sz w:val="28"/>
          <w:szCs w:val="28"/>
        </w:rPr>
        <w:t xml:space="preserve">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Прогнозируемый рост объема инвестиций в основной капитал в 2024 - 2026 гг. также будет обеспечен реализацией ряда инвестиционных проектов в следующих секторах: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«обрабатывающие производства» - наиболее масштабные проекты традиционно реализуют крупнейшие предприятия города: Группа «ГАЗ», АО «ОКБМ Африкантов», АО «НЗ 70-летия Победы», ПАО «НИТЕЛ», АО «НМЖК» и другие;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«обеспечение электрической энергией, газом и па</w:t>
      </w:r>
      <w:r w:rsidR="00DF5B9B">
        <w:rPr>
          <w:sz w:val="28"/>
          <w:szCs w:val="28"/>
        </w:rPr>
        <w:t xml:space="preserve">ром; кондиционирование воздуха» - </w:t>
      </w:r>
      <w:r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 xml:space="preserve">», Филиал «Нижновэнерго» ПАО «МРСК Центра и Приволжья», ПАО «ТНС </w:t>
      </w:r>
      <w:proofErr w:type="spellStart"/>
      <w:r>
        <w:rPr>
          <w:sz w:val="28"/>
          <w:szCs w:val="28"/>
        </w:rPr>
        <w:t>энерго</w:t>
      </w:r>
      <w:proofErr w:type="spellEnd"/>
      <w:r>
        <w:rPr>
          <w:sz w:val="28"/>
          <w:szCs w:val="28"/>
        </w:rPr>
        <w:t xml:space="preserve"> НН», АО «ВВЭК», ООО «Заводские сети», ООО «Автозаво</w:t>
      </w:r>
      <w:r w:rsidR="00DF5B9B">
        <w:rPr>
          <w:sz w:val="28"/>
          <w:szCs w:val="28"/>
        </w:rPr>
        <w:t xml:space="preserve">дская ТЭЦ» и т.д. осуществляют </w:t>
      </w:r>
      <w:r>
        <w:rPr>
          <w:sz w:val="28"/>
          <w:szCs w:val="28"/>
        </w:rPr>
        <w:t>проекты, направленные на модернизацию, реконструкцию и строительство объектов тепло- и электросетевого хозяйства;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«водоснабжение; водоотведение, организация сбора и утилизация отходов, деятельность по ликвидации загрязнений» - инвестиционную программу по модернизации до 2030 года реализует АО «Нижегородский водоканал»;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«деятельность профессиональная, научная и техническая» - крупнейшие инвестиционные проекты реализуют АО «ФНПЦ «ННИИРТ»», АО ИК «АСЭ» и АО ЦНИИ «Буревестник»;</w:t>
      </w:r>
    </w:p>
    <w:p w:rsidR="00A27DF6" w:rsidRDefault="00A27DF6" w:rsidP="00A27DF6">
      <w:pPr>
        <w:autoSpaceDE w:val="0"/>
        <w:autoSpaceDN w:val="0"/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>
        <w:rPr>
          <w:sz w:val="28"/>
          <w:szCs w:val="28"/>
        </w:rPr>
        <w:t xml:space="preserve">«транспортировка и хранение» - традиционно лидерами являются АО «РЖД» («ГЖД»), АО «МАНН», АО «ВВППК» и «ООО Газпром </w:t>
      </w:r>
      <w:proofErr w:type="spellStart"/>
      <w:r>
        <w:rPr>
          <w:sz w:val="28"/>
          <w:szCs w:val="28"/>
        </w:rPr>
        <w:t>трансгаз</w:t>
      </w:r>
      <w:proofErr w:type="spellEnd"/>
      <w:r>
        <w:rPr>
          <w:sz w:val="28"/>
          <w:szCs w:val="28"/>
        </w:rPr>
        <w:t xml:space="preserve"> Нижний Новгород», в том числе как участник «Программы газификации Нижегородской области 2021-2025 гг.»;</w:t>
      </w:r>
    </w:p>
    <w:p w:rsidR="00A27DF6" w:rsidRDefault="00A27DF6" w:rsidP="00A27DF6">
      <w:pPr>
        <w:autoSpaceDE w:val="0"/>
        <w:autoSpaceDN w:val="0"/>
        <w:spacing w:before="100" w:beforeAutospacing="1" w:after="100" w:afterAutospacing="1"/>
        <w:ind w:firstLine="709"/>
        <w:contextualSpacing/>
        <w:jc w:val="both"/>
      </w:pPr>
      <w:r>
        <w:rPr>
          <w:sz w:val="28"/>
          <w:szCs w:val="28"/>
        </w:rPr>
        <w:t>«строительство» - уровень инвестиций поддерживается за счет ряда региональных и муниципальных проектов по развитию дорожной инфраструктуры и инженерных сооружений. Инвестиционные планы по строительству реализуют также АО «</w:t>
      </w:r>
      <w:proofErr w:type="spellStart"/>
      <w:r>
        <w:rPr>
          <w:sz w:val="28"/>
          <w:szCs w:val="28"/>
        </w:rPr>
        <w:t>Транснефть-Подводсервис</w:t>
      </w:r>
      <w:proofErr w:type="spellEnd"/>
      <w:r>
        <w:rPr>
          <w:sz w:val="28"/>
          <w:szCs w:val="28"/>
        </w:rPr>
        <w:t>», АО «</w:t>
      </w:r>
      <w:proofErr w:type="spellStart"/>
      <w:r>
        <w:rPr>
          <w:sz w:val="28"/>
          <w:szCs w:val="28"/>
        </w:rPr>
        <w:t>Волгогаз</w:t>
      </w:r>
      <w:proofErr w:type="spellEnd"/>
      <w:r>
        <w:rPr>
          <w:sz w:val="28"/>
          <w:szCs w:val="28"/>
        </w:rPr>
        <w:t>», ООО НПФ «</w:t>
      </w:r>
      <w:proofErr w:type="spellStart"/>
      <w:r>
        <w:rPr>
          <w:sz w:val="28"/>
          <w:szCs w:val="28"/>
        </w:rPr>
        <w:t>Металлимпресс</w:t>
      </w:r>
      <w:proofErr w:type="spellEnd"/>
      <w:r>
        <w:rPr>
          <w:sz w:val="28"/>
          <w:szCs w:val="28"/>
        </w:rPr>
        <w:t>». В сфере жилищного строительства в городе лидируют: группа компаний «Столица Нижний», ГК «Каркас Монолит», ГК «3</w:t>
      </w:r>
      <w:r>
        <w:rPr>
          <w:sz w:val="28"/>
          <w:szCs w:val="28"/>
          <w:lang w:val="en-US"/>
        </w:rPr>
        <w:t>S</w:t>
      </w:r>
      <w:r w:rsidRPr="00A27D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Group</w:t>
      </w:r>
      <w:r>
        <w:rPr>
          <w:sz w:val="28"/>
          <w:szCs w:val="28"/>
        </w:rPr>
        <w:t>», ГК «ННДК», ГК «Разумные инвестиции», ГК «Династия», ГК </w:t>
      </w:r>
      <w:proofErr w:type="spellStart"/>
      <w:r>
        <w:rPr>
          <w:sz w:val="28"/>
          <w:szCs w:val="28"/>
        </w:rPr>
        <w:t>Жилстрой</w:t>
      </w:r>
      <w:proofErr w:type="spellEnd"/>
      <w:r>
        <w:rPr>
          <w:sz w:val="28"/>
          <w:szCs w:val="28"/>
        </w:rPr>
        <w:t>-НН.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социально-экономического развития города требуется строительство новых и реконструкция имеющихся муниципальных объектов инфраструктуры.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проектов с помощью привлечения внебюджетных инвестиций, в том числе путем заключения концессионных соглашений, позволяет снизить бюджетные расходы, связанные с созданием, реконструкцией и поддержкой в надлежащем состоянии объектов, находящихся в муниципальной собственности, сохраняя при этом право собственности за муниципальным образованием, и, обеспечивая его пользование, в том числе в интересах населения города.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города Нижнего Новгорода ведется активная работа по привлечению инвестиций в экономику города и внедрению практики применения механизмов государственно-частного партнерства: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АО «Нижегородский водоканал» 14.06.2013 заключено концессионное соглашение №13 с целью создания и реконструкции муниципального имущества, входящего в систему коммунальной инфраструктуры, представляющей собой совокупность технологически связанных между собой производственных и имущественных объектов (движимое и недвижимое имущество), предназначенных для водоснабжения и водоотведения и очистки сточных вод. Срок реализации проекта: 2013-2038 гг. Объем инвестиций: более 6 млрд. руб.;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АО «Сбербанк Лизинг» 26.04.2019 заключено концессионное соглашение №12 о реконструкции здания ангара </w:t>
      </w:r>
      <w:proofErr w:type="spellStart"/>
      <w:r>
        <w:rPr>
          <w:sz w:val="28"/>
          <w:szCs w:val="28"/>
        </w:rPr>
        <w:t>электродепо</w:t>
      </w:r>
      <w:proofErr w:type="spellEnd"/>
      <w:r>
        <w:rPr>
          <w:sz w:val="28"/>
          <w:szCs w:val="28"/>
        </w:rPr>
        <w:t xml:space="preserve"> «Пролетарское» для обслуживания и ремонта вагонов метро и модернизации (капитально-восстановительного ремонта) вагонов метрополитена города Нижнего Новгорода. Срок реализации проекта: до 31.12.2023 г. Объем инвестиций: 980,6 млн. руб.;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ПАО «Ростелеком» 20.06.2018 заключено концессионное соглашение №15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информации. Срок реализации проекта: 2018-2028 гг. Объем инвестиций: 1,6 млрд. руб.;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ПАО «Мегафон» 14.01.2020 заключено концессионное соглашение №1 о создании системы управления парковками (парковочными местами), предоставляемыми на платной основе и расположенными на автомобильных дорогах общего пользования местного значения города Нижнего Новгорода, и реконструкции муниципального недвижимого имущества в целях создания центра мониторинга и управления парковками (парковочными местами). Срок реализации проекта: 2020-2032 гг. Объем инвестиций: 200 млн. руб.;</w:t>
      </w:r>
    </w:p>
    <w:p w:rsidR="00A27DF6" w:rsidRDefault="00A27DF6" w:rsidP="00A27DF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ООО «</w:t>
      </w:r>
      <w:proofErr w:type="spellStart"/>
      <w:r>
        <w:rPr>
          <w:sz w:val="28"/>
          <w:szCs w:val="28"/>
        </w:rPr>
        <w:t>ПроСнег</w:t>
      </w:r>
      <w:proofErr w:type="spellEnd"/>
      <w:r>
        <w:rPr>
          <w:sz w:val="28"/>
          <w:szCs w:val="28"/>
        </w:rPr>
        <w:t>» 28.05.2022 заключено концессионное соглашение №23 о создании и эксплуатации станции снеготаяния Нижегородского района. Срок реализации проекта: 2022-2031 гг. Объем инвестиций: 103,9 млн. руб.;</w:t>
      </w:r>
    </w:p>
    <w:p w:rsidR="00A27DF6" w:rsidRDefault="00A27DF6" w:rsidP="00A27DF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ООО «Чистые улицы Приволжья» 22.12.2022 заключено концессионное соглашение №57 о реконструкции и эксплуатации станции снеготаяния Советского района. Срок реализации проекта: до 31.07.2042 г. Объем инвестиций: 177 млн. руб.;</w:t>
      </w:r>
    </w:p>
    <w:p w:rsidR="00A27DF6" w:rsidRDefault="00A27DF6" w:rsidP="00A27DF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ООО «Чистые улицы Приволжья» 24.03.2023 заключено концессионное соглашение №7 о создании и эксплуатации станции снеготаяния Московского района. Срок реализации проекта: до 31.07.2043 г. Объем инвестиций: 322,5 млн. руб.;</w:t>
      </w:r>
    </w:p>
    <w:p w:rsidR="00A27DF6" w:rsidRDefault="00A27DF6" w:rsidP="00A27DF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АО «</w:t>
      </w:r>
      <w:proofErr w:type="spellStart"/>
      <w:r>
        <w:rPr>
          <w:sz w:val="28"/>
          <w:szCs w:val="28"/>
        </w:rPr>
        <w:t>Теплоэнерго</w:t>
      </w:r>
      <w:proofErr w:type="spellEnd"/>
      <w:r>
        <w:rPr>
          <w:sz w:val="28"/>
          <w:szCs w:val="28"/>
        </w:rPr>
        <w:t>» 30.06.2023 заключено концессионное соглашение №21/63-П в отношении объектов теплоснабжения и горячего водоснабжения. Срок реализации проекта: до 31.12.2047 г. Объем инвестиций: 42,5 млрд. руб.</w:t>
      </w:r>
    </w:p>
    <w:p w:rsidR="00A27DF6" w:rsidRDefault="00A27DF6" w:rsidP="00A27DF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27DF6" w:rsidRPr="00DF5B9B" w:rsidRDefault="00A27DF6" w:rsidP="00DF5B9B">
      <w:pPr>
        <w:suppressAutoHyphens/>
        <w:jc w:val="center"/>
        <w:rPr>
          <w:sz w:val="28"/>
          <w:szCs w:val="28"/>
        </w:rPr>
      </w:pPr>
      <w:r w:rsidRPr="00DF5B9B">
        <w:rPr>
          <w:sz w:val="28"/>
          <w:szCs w:val="28"/>
        </w:rPr>
        <w:t>2. Прогноз развития потребительского рынка</w:t>
      </w:r>
    </w:p>
    <w:p w:rsidR="00A27DF6" w:rsidRPr="00DF5B9B" w:rsidRDefault="00A27DF6" w:rsidP="00A27DF6">
      <w:pPr>
        <w:suppressAutoHyphens/>
        <w:ind w:firstLine="709"/>
        <w:rPr>
          <w:sz w:val="28"/>
          <w:szCs w:val="28"/>
        </w:rPr>
      </w:pP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потребительский рынок города Нижнего Новгорода представляет собой развитую сеть предприятий торговли, общественного питания и бытовых услуг различных типов, видов, форм и форматов, </w:t>
      </w:r>
      <w:r w:rsidR="00DF5B9B">
        <w:rPr>
          <w:sz w:val="28"/>
          <w:szCs w:val="28"/>
        </w:rPr>
        <w:t>которая включает в себя свыше 8</w:t>
      </w:r>
      <w:r>
        <w:rPr>
          <w:sz w:val="28"/>
          <w:szCs w:val="28"/>
        </w:rPr>
        <w:t>869 объектов, в том числе:</w:t>
      </w:r>
    </w:p>
    <w:p w:rsidR="00A27DF6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7DF6">
        <w:rPr>
          <w:sz w:val="28"/>
          <w:szCs w:val="28"/>
        </w:rPr>
        <w:t>094 стационарных предприятия розничной торговли;</w:t>
      </w:r>
    </w:p>
    <w:p w:rsidR="00A27DF6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27DF6">
        <w:rPr>
          <w:sz w:val="28"/>
          <w:szCs w:val="28"/>
        </w:rPr>
        <w:t>579 объектов нестационарной торговой сети;</w:t>
      </w:r>
    </w:p>
    <w:p w:rsidR="00A27DF6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розничных рынка на 1</w:t>
      </w:r>
      <w:r w:rsidR="00A27DF6">
        <w:rPr>
          <w:sz w:val="28"/>
          <w:szCs w:val="28"/>
        </w:rPr>
        <w:t>202 места;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 регулярн</w:t>
      </w:r>
      <w:r w:rsidR="00DF5B9B">
        <w:rPr>
          <w:sz w:val="28"/>
          <w:szCs w:val="28"/>
        </w:rPr>
        <w:t>ых (универсальных) ярмарок на 2</w:t>
      </w:r>
      <w:r>
        <w:rPr>
          <w:sz w:val="28"/>
          <w:szCs w:val="28"/>
        </w:rPr>
        <w:t>353 торговых места;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 выставок-ярмарок выходного дня по продаже сельскохозяйственной продукции нижегородскими товаропроизводителями на 230 мест;</w:t>
      </w:r>
    </w:p>
    <w:p w:rsidR="00A27DF6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27DF6">
        <w:rPr>
          <w:sz w:val="28"/>
          <w:szCs w:val="28"/>
        </w:rPr>
        <w:t>464 предприятия общественного питания;</w:t>
      </w:r>
    </w:p>
    <w:p w:rsidR="00A27DF6" w:rsidRDefault="00DF5B9B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27DF6">
        <w:rPr>
          <w:sz w:val="28"/>
          <w:szCs w:val="28"/>
        </w:rPr>
        <w:t>712 предприятий бытового обслуживания.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емкость потребительского рынка города</w:t>
      </w:r>
      <w:r>
        <w:t xml:space="preserve"> </w:t>
      </w:r>
      <w:r>
        <w:rPr>
          <w:sz w:val="28"/>
          <w:szCs w:val="28"/>
        </w:rPr>
        <w:t xml:space="preserve">по крупным и средним предприятиям по итогам 2022 года составила 407,4 млрд. рублей. В 2023 году </w:t>
      </w:r>
      <w:r>
        <w:rPr>
          <w:sz w:val="28"/>
          <w:szCs w:val="28"/>
        </w:rPr>
        <w:lastRenderedPageBreak/>
        <w:t>продолжается восстановительная динамика роста в данном секторе и по оценке к концу года общая емкость составит 434 млрд. рублей.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</w:t>
      </w:r>
      <w:r>
        <w:rPr>
          <w:sz w:val="28"/>
        </w:rPr>
        <w:t xml:space="preserve">стабильная ситуация на рынке труда, </w:t>
      </w:r>
      <w:r>
        <w:rPr>
          <w:sz w:val="28"/>
          <w:szCs w:val="28"/>
        </w:rPr>
        <w:t>сохранение и рост денежных доходов населения непосредственно будут влиять на увеличение потребительского спроса.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Также, развитию данной сферы будут способствовать следующие позитивные факторы: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расширение ассортимента продукции для сохранения товарного разнообразия в торговых точках города;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бесперебойное обеспечение товарами первой необходимости;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недопущение ажиотажного спроса среди населения на товары первой необходимости;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рост предложений отечественной продукции в результате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высокий уровень обеспеченности стационарными торговыми площадями;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стабильный темп развития материально-технической базы предприятий потребительского рынка;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общественных пространств города;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высокий уровень конкурентной среды, насыщенности товарами и услугами.</w:t>
      </w:r>
    </w:p>
    <w:p w:rsidR="00A27DF6" w:rsidRDefault="00A27DF6" w:rsidP="00A27DF6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Розничная торговля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t>Нижний Новгород</w:t>
      </w:r>
      <w:r>
        <w:rPr>
          <w:sz w:val="28"/>
          <w:szCs w:val="28"/>
        </w:rPr>
        <w:t xml:space="preserve"> является одним из самых насыщенных современными торговыми центрами городов в России. Показатель обеспечен</w:t>
      </w:r>
      <w:r w:rsidR="00DF5B9B">
        <w:rPr>
          <w:sz w:val="28"/>
          <w:szCs w:val="28"/>
        </w:rPr>
        <w:t>ности составляет 583 кв. м на 1</w:t>
      </w:r>
      <w:r>
        <w:rPr>
          <w:sz w:val="28"/>
          <w:szCs w:val="28"/>
        </w:rPr>
        <w:t xml:space="preserve">000 чел., объем торговых площадей в городе достиг 719,8 тыс. кв. м. Предложение качественных площадей представлено не только объектами регионального и </w:t>
      </w:r>
      <w:proofErr w:type="spellStart"/>
      <w:r>
        <w:rPr>
          <w:sz w:val="28"/>
          <w:szCs w:val="28"/>
        </w:rPr>
        <w:t>суперрегионального</w:t>
      </w:r>
      <w:proofErr w:type="spellEnd"/>
      <w:r>
        <w:rPr>
          <w:sz w:val="28"/>
          <w:szCs w:val="28"/>
        </w:rPr>
        <w:t xml:space="preserve"> масштаба площадью от 80 тыс. кв. м, но и качественными торговыми центрами районного формата. </w:t>
      </w:r>
    </w:p>
    <w:p w:rsidR="00A27DF6" w:rsidRDefault="00A27DF6" w:rsidP="00A27DF6">
      <w:pPr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sz w:val="28"/>
          <w:szCs w:val="28"/>
        </w:rPr>
        <w:t>На территории города функционирует 10 торгово-развлекательных центров, 27 гипермаркетов, 1 многофункциональный комплекс «Океанис», 80 торговых центров, а также 530 супермаркетов и универсамов, 791 специализированный продовольственный и 1 768 специализированных непродовольственных магазинов.</w:t>
      </w:r>
    </w:p>
    <w:p w:rsidR="00A27DF6" w:rsidRDefault="00A27DF6" w:rsidP="00A27DF6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Обеспеченность стационарными торговыми площадями на 1 тысячу жителей соста</w:t>
      </w:r>
      <w:r w:rsidR="00DF5B9B">
        <w:rPr>
          <w:noProof/>
          <w:sz w:val="28"/>
          <w:szCs w:val="28"/>
        </w:rPr>
        <w:t>вила 1</w:t>
      </w:r>
      <w:r>
        <w:rPr>
          <w:noProof/>
          <w:sz w:val="28"/>
          <w:szCs w:val="28"/>
        </w:rPr>
        <w:t xml:space="preserve">344,4 кв. м при установленном нормативе минимальной обеспеченности 662 кв.м. Фактическая обеспеченность торговыми площадями в городе превышает норматив в 2 раза (203,1 % от установленного норматива). </w:t>
      </w:r>
    </w:p>
    <w:p w:rsidR="00A27DF6" w:rsidRDefault="00A27DF6" w:rsidP="00A27DF6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 первое полугодие 2023 года начали деятельность 19 стационарных предприятий розничной торговли, торговой площадью 9 048,8 кв.м. Запланировано строительство торгового объекта (магазина) площадью 1 500 кв. м (Автозаводский район). </w:t>
      </w:r>
    </w:p>
    <w:p w:rsidR="00A27DF6" w:rsidRDefault="00A27DF6" w:rsidP="00A27DF6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Кроме того, планируется открытие торговых объектов в нежилых коммерческих помещениях на первых этажах домов в строящихся жилых комплексах: «Новая Кузнечиха», «Цветы-2», «Квартет», «Орбита». Запланировано строительство крупного складского комплекса в торгово-логистическом парке «NOVA PARK» Нижнего Новгорода (площадью свыше 51 тыс. кв.м), который будет оказывать услуги по приему, хранению, сортировке, обработке товаров от поставщиков и отправке предметов размещения получателям.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2023 года оборот розничной торговли по крупным и средним пред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приятиям оценивается на уровне 301,8 млрд. рублей, что в сопоставимых ценах составит 101 %. Данный рост будет обеспечен за счет наращивания производства отечественных товаров и услуг в результате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перестройки логистических цепочек, снижения темпов инфляции и восстановления реальных денежных доходов населения.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прогнозном периоде ожидается укрепление позиций и удерживание положительной динамики в пределах 103,5 – 104,5 %. К 2026 году объем оборота розничной торговли по крупным и средним предприятиям увеличится до 384,1 млрд. рублей.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bCs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3520" cy="2456742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60" t="-5495" r="-10178" b="-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97" cy="24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Общественное питание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настоящее время услуги общественного питания на территории города Нижнего Новгорода предоставляют 1 464 предприятия общественного питания на 92 тыс. посадочных мест, в том числе: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897 ресторанов, кафе и баров;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353 столовых учебных заведений, организаций, промышленных предприятий;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214 общедоступных столовых, закусочных и иных предприятий.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Фактическая обеспеченность населения города сетью общедоступных предприятий общественного питания составила 40 посадочных мест на 1 тысячу жителей или 100 % от установленного норматива минимальной обеспеченности.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первом полугодии 2023 года открылись и начали деятельность 8 предприятий общественного питания с числом посадочных мест – 593.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сегменте потребительского рынка со</w:t>
      </w:r>
      <w:r w:rsidR="00DF5B9B">
        <w:rPr>
          <w:rFonts w:ascii="Times New Roman" w:hAnsi="Times New Roman" w:cs="Times New Roman"/>
          <w:sz w:val="28"/>
          <w:szCs w:val="28"/>
        </w:rPr>
        <w:t xml:space="preserve">храняется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положительная динамика. В 2023 году по оценке объем оборота общественного питания по крупным и средним организациям составит 7,7 млрд. рублей, что в сопоставимых ценах выше уровня предыдущего года на 15,7 %. 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2024 по 2026 год ожидается рост </w:t>
      </w:r>
      <w:r>
        <w:rPr>
          <w:rFonts w:ascii="ArialMT" w:hAnsi="ArialMT" w:cs="Times New Roman"/>
          <w:color w:val="000000"/>
          <w:sz w:val="28"/>
        </w:rPr>
        <w:t>оборота общественного питания в пределах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104-104,9% в сопоставимых ценах. К 2026 году объем оборота общественного питания по крупным и средним организациям должен достигнуть 10 млрд. рублей.</w:t>
      </w:r>
    </w:p>
    <w:p w:rsidR="00A27DF6" w:rsidRDefault="00A27DF6" w:rsidP="00A27DF6">
      <w:pPr>
        <w:pStyle w:val="ConsPlusNormal"/>
        <w:ind w:firstLine="0"/>
        <w:jc w:val="both"/>
      </w:pPr>
    </w:p>
    <w:p w:rsidR="00D83554" w:rsidRDefault="00D83554" w:rsidP="00A27DF6">
      <w:pPr>
        <w:pStyle w:val="ConsPlusNormal"/>
        <w:ind w:firstLine="0"/>
        <w:jc w:val="both"/>
      </w:pPr>
    </w:p>
    <w:p w:rsidR="00A27DF6" w:rsidRDefault="00A27DF6" w:rsidP="00A27DF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9868" cy="2377272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3" t="-5222" r="-6538" b="-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24" cy="24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01" w:rsidRDefault="00A30501" w:rsidP="00A27DF6">
      <w:pPr>
        <w:rPr>
          <w:sz w:val="28"/>
          <w:szCs w:val="28"/>
        </w:rPr>
      </w:pPr>
    </w:p>
    <w:p w:rsidR="00A27DF6" w:rsidRDefault="00A27DF6" w:rsidP="00A3050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Платные услуги</w:t>
      </w:r>
    </w:p>
    <w:p w:rsidR="00A30501" w:rsidRDefault="00A30501" w:rsidP="00A27DF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A27DF6" w:rsidRDefault="00A27DF6" w:rsidP="00A27DF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Нижнего Новгорода 1 712 предприятий бытового обслуживания населения на 6,8 тыс. рабочих мест.</w:t>
      </w:r>
    </w:p>
    <w:p w:rsidR="00A27DF6" w:rsidRDefault="00A27DF6" w:rsidP="00A27DF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обеспеченности населения города рабочими местами в предприятиях бытового обслуживания города Нижнего Новгорода составляет 6,1 рабочих мест на 1 тысячу жителей или 61% от установленного норматива (9 мест).</w:t>
      </w:r>
    </w:p>
    <w:p w:rsidR="00A27DF6" w:rsidRDefault="00A27DF6" w:rsidP="00A27DF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первое полугодие 2023 года начали деятельность 8 предприятий бытового обслуживания на 16 рабочих мест.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7 месяцев текущего года среди платных услуг, занимающих значительную долю в общем объеме платных услуг, рост был зафиксирован по следующим видам деятельности: услуги системы образования (107,1 %), услуги телекоммуникационные (106,9 %), транспортные услуги (106,5 %).</w:t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бытовых услуг положительной динамикой характеризуются следующие виды услуг (рост на 15,8 %): ремонт и пошив швейных, меховых и кожаных изделий, головных уборов и изделий текстильной галантереи, ремонт, пошив и вязание трикотажных изделий; изготовление и ремонт мебели; ремонт и техническое обслуживание бытовой радиоэлектронной аппаратуры, бытовых машин и приборов, ремонт и изготовление металлоизделий; парикмахерские и косметические услуги; техническое обслуживание и ремонт транспортных средств, машин и оборудования; химическая чистка и крашение, услуги прачечных; услуги саун, бань и душевых.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видов платных услуг, занимающих незначительную долю в общем объеме платных услуг, наибольший рост зафиксирован по видам деятельности: услуги гостиниц и аналогичные услуги по предоставлению временного жилья; услуги учреждений культуры; услуги физической культуры и спорта.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30501" w:rsidRDefault="00A30501" w:rsidP="00A27DF6">
      <w:pPr>
        <w:ind w:firstLine="709"/>
        <w:jc w:val="both"/>
        <w:rPr>
          <w:sz w:val="28"/>
          <w:szCs w:val="28"/>
        </w:rPr>
      </w:pPr>
    </w:p>
    <w:p w:rsidR="00A27DF6" w:rsidRDefault="00A27DF6" w:rsidP="00D8355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объема платных услуг за 7 месяцев 2023 года, %</w:t>
      </w:r>
    </w:p>
    <w:p w:rsidR="00A27DF6" w:rsidRDefault="00A27DF6" w:rsidP="00A27DF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5871" cy="3609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25" cy="36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платных услуг, оказанных населению крупными и средними организациями в 2023 году, оценивается на уровне 124,4 млрд. рублей, что в сопоставимых ценах составит 101,1 % к уровню прошлого года. В период с 2024 по 2026 год темпы роста платных услуг, оказанных населению, прогнозируются в пределах 102,5 </w:t>
      </w: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102,8 % (в сопоставимых ценах). К 2026 году объем платных услуг увеличится до 152,2 млрд. рублей.</w:t>
      </w:r>
    </w:p>
    <w:p w:rsidR="00A27DF6" w:rsidRDefault="00A27DF6" w:rsidP="00A27DF6">
      <w:pPr>
        <w:pStyle w:val="ConsPlusNormal"/>
        <w:ind w:firstLine="0"/>
        <w:jc w:val="both"/>
      </w:pPr>
    </w:p>
    <w:p w:rsidR="00A27DF6" w:rsidRDefault="00A27DF6" w:rsidP="00A27DF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7410" cy="295021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46" t="-5209" r="-10873" b="-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сферы потребительского рынка города будет продолжена реализация мероприятий муниципальной программы «Развитие малого и среднего предпринимательства в городе Нижнем Новгороде на 2023-2028 годы» по р</w:t>
      </w:r>
      <w:r>
        <w:rPr>
          <w:sz w:val="28"/>
          <w:szCs w:val="28"/>
          <w:shd w:val="clear" w:color="auto" w:fill="FFFFFF"/>
        </w:rPr>
        <w:t>азвитию инфраструктуры потребительского рынка, обеспечению вариативности форм торговли, в том числе организации ярмарочной деятельности и проведению фестивалей, а также д</w:t>
      </w:r>
      <w:r>
        <w:rPr>
          <w:sz w:val="28"/>
          <w:szCs w:val="28"/>
        </w:rPr>
        <w:t xml:space="preserve">альнейшему развитию системы малых торговых форматов - мобильной и нестационарной торговли, рынков и ярмарок, несетевых магазинов. </w:t>
      </w:r>
    </w:p>
    <w:p w:rsidR="00A27DF6" w:rsidRDefault="00A27DF6" w:rsidP="00D8355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83554">
        <w:rPr>
          <w:rFonts w:ascii="Times New Roman" w:hAnsi="Times New Roman" w:cs="Times New Roman"/>
          <w:sz w:val="28"/>
          <w:szCs w:val="28"/>
        </w:rPr>
        <w:lastRenderedPageBreak/>
        <w:t>3. Демографические тенденции, занятость и уровень жизни населения</w:t>
      </w:r>
    </w:p>
    <w:p w:rsidR="00D83554" w:rsidRPr="00D83554" w:rsidRDefault="00D83554" w:rsidP="00D8355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текущих условиях по-прежнему сохраняется естественная убыль населения и в отсутствие ее компенсации миграционным сальдо фиксируется снижение численности населения города. При этом благодаря нормализации эпидемиологической обстановки происходит снижение темпов естественной убыли населения. К началу 2023 года численность населения городского округа составила (с учетом подведения итогов Всероссийской пе</w:t>
      </w:r>
      <w:r w:rsidR="00D83554">
        <w:rPr>
          <w:sz w:val="28"/>
          <w:szCs w:val="28"/>
        </w:rPr>
        <w:t>реписи населения 2020 года) – 1</w:t>
      </w:r>
      <w:r>
        <w:rPr>
          <w:sz w:val="28"/>
          <w:szCs w:val="28"/>
        </w:rPr>
        <w:t>237 тыс. человек.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прогнозном периоде основные демографические риски связаны с усилением тенденции старения населения (ухудшение возрастной структуры) и вхождением в активный репродуктивный возраст женщин, рожденных в период спада рождаемости (в 90-е годы).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стабилизации демографической ситуации разработан комплекс мер, которые в соответствии с целями и стратегическими задачами, предусмотренными указом Президента Российской Федерации от </w:t>
      </w:r>
      <w:hyperlink r:id="rId21" w:history="1">
        <w:r w:rsidRPr="00D83554">
          <w:rPr>
            <w:rStyle w:val="affff"/>
            <w:b w:val="0"/>
            <w:bCs/>
            <w:color w:val="auto"/>
            <w:sz w:val="28"/>
            <w:szCs w:val="28"/>
            <w:u w:val="none"/>
          </w:rPr>
          <w:t>21.07.2020 № 474 «О национальных целях развития Российской Федерации на период до 2030 года</w:t>
        </w:r>
      </w:hyperlink>
      <w:r w:rsidRPr="00D83554">
        <w:rPr>
          <w:sz w:val="28"/>
          <w:szCs w:val="28"/>
        </w:rPr>
        <w:t>»</w:t>
      </w:r>
      <w:r w:rsidRPr="00D8355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 быть реализованы на территории города, в том числе в рамках национальных проектов «Демография» и «Здравоохранение».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мероприятия предусматривают: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реализацию механизма финансовой поддержки семей при рождении детей (в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предоставление материнского (семейного) капитала при рождении первого (с 2020 года) и последующих детей);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осуществления трудовой деятельности женщин, имеющих детей,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за счет повышения доступности дошкольного образования для детей в возрасте до трех лет;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детского здравоохранения, включая создание современной инфраструктуры оказания медицинской помощи детям;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 инновационных медицинских технологий, включая систему ранней диагностики и дистанционный мониторинг состояния здоровья пациентов;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программ борьбы с онкологическими и сердечно-сосудистыми заболеваниями;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системную поддержку и повышение качества жизни граждан старшего поколения;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системы мотивации граждан к здоровому образу жизни, включая здоровое питание и отказ от вредных привычек;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т.п.</w:t>
      </w:r>
    </w:p>
    <w:p w:rsidR="00A27DF6" w:rsidRDefault="00A27DF6" w:rsidP="00A27DF6">
      <w:pPr>
        <w:suppressAutoHyphens/>
        <w:ind w:firstLine="709"/>
        <w:jc w:val="both"/>
        <w:outlineLvl w:val="8"/>
        <w:rPr>
          <w:sz w:val="28"/>
          <w:szCs w:val="28"/>
        </w:rPr>
      </w:pPr>
      <w:proofErr w:type="gramStart"/>
      <w:r>
        <w:rPr>
          <w:rFonts w:ascii="ArialMT" w:hAnsi="ArialMT"/>
          <w:sz w:val="28"/>
        </w:rPr>
        <w:t>Кроме того</w:t>
      </w:r>
      <w:proofErr w:type="gramEnd"/>
      <w:r>
        <w:rPr>
          <w:rFonts w:ascii="ArialMT" w:hAnsi="ArialMT"/>
          <w:sz w:val="28"/>
        </w:rPr>
        <w:t xml:space="preserve"> для решения демографических проблем </w:t>
      </w:r>
      <w:r>
        <w:rPr>
          <w:sz w:val="28"/>
          <w:szCs w:val="28"/>
        </w:rPr>
        <w:t>реализуются различные инструменты содействия семьям с детьми в целях улучшения жилищных условий и повышения доступности жилья. Так, например, действует программа льготного ипотечного кредитования для семей с детьми, в рамках которой возможно получение кредита по ставке 6% годовых на весь срок кредита (займа).</w:t>
      </w:r>
    </w:p>
    <w:p w:rsidR="00A27DF6" w:rsidRDefault="00A27DF6" w:rsidP="00A27DF6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В результате реализации данных мероприятий прогнозируется </w:t>
      </w:r>
      <w:r>
        <w:rPr>
          <w:noProof/>
          <w:sz w:val="28"/>
          <w:szCs w:val="28"/>
        </w:rPr>
        <w:t>создание благоприятных условий для стабилизации рождаемости</w:t>
      </w:r>
      <w:r>
        <w:rPr>
          <w:sz w:val="28"/>
          <w:szCs w:val="28"/>
        </w:rPr>
        <w:t xml:space="preserve">, снижения показателей </w:t>
      </w:r>
      <w:r>
        <w:rPr>
          <w:sz w:val="28"/>
          <w:szCs w:val="28"/>
        </w:rPr>
        <w:lastRenderedPageBreak/>
        <w:t>смертности населения, в том числе в трудоспособном возрасте, увеличения ожидаемой продолжительности здоровой жизни.</w:t>
      </w:r>
      <w:r>
        <w:rPr>
          <w:noProof/>
          <w:sz w:val="28"/>
          <w:szCs w:val="28"/>
        </w:rPr>
        <w:t xml:space="preserve"> </w:t>
      </w:r>
    </w:p>
    <w:p w:rsidR="00A27DF6" w:rsidRDefault="00A27DF6" w:rsidP="00A27DF6">
      <w:pPr>
        <w:suppressAutoHyphens/>
        <w:ind w:firstLine="709"/>
        <w:jc w:val="both"/>
        <w:rPr>
          <w:noProof/>
          <w:sz w:val="28"/>
          <w:szCs w:val="28"/>
        </w:rPr>
      </w:pPr>
    </w:p>
    <w:p w:rsidR="00A27DF6" w:rsidRDefault="00A27DF6" w:rsidP="00D83554">
      <w:pPr>
        <w:suppressAutoHyphens/>
        <w:ind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744" cy="287718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45" t="-3711" r="-14487" b="-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88" cy="29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Фактором компенсации естественной убыли населения может стать миграционный прирост, который возможно обеспечить за счет мер, предусмотренных Концепцией государственной миграционной политики РФ на 2019-2025 гг., утвержденной Указом Президента РФ от 31.10.2018 № 622. Это позволит привлечь на постоянное место жительства востребованных специалистов и молодежь с учетом имеющихся потребностей демографического и экономического развития.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Эффективная реализация данных мероприятий позволит замедлить снижение численности населения города. К 2026 году она оценивается на уровне 1 226 тыс. человек.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формирование трудовых ресурсов города в среднесрочной перспективе будет продолжать оказывать позитивное влияние поэтапное повышение пенсионного возраста.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340296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45" t="-8705" r="-4890" b="-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Компенсация выбывающих трудовых ресурсов позволит обеспечить в ближайшие годы устойчивый рост численности населения трудоспособного возраста.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D83554">
      <w:pPr>
        <w:suppressAutoHyphens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4847" cy="26235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60" t="-4378" r="-9348" b="-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15" cy="26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Снижение численности населения трудоспособного возраста в текущем году обусловлено подведением итогов Всероссийской переписи населения 2020 года. В течение 2024-2026 гг.</w:t>
      </w:r>
      <w:r>
        <w:t xml:space="preserve"> </w:t>
      </w:r>
      <w:r>
        <w:rPr>
          <w:sz w:val="28"/>
          <w:szCs w:val="28"/>
        </w:rPr>
        <w:t xml:space="preserve">ситуация на рынке труда города в условиях адаптации экономики к внешнему </w:t>
      </w:r>
      <w:proofErr w:type="spellStart"/>
      <w:r>
        <w:rPr>
          <w:sz w:val="28"/>
          <w:szCs w:val="28"/>
        </w:rPr>
        <w:t>санкционному</w:t>
      </w:r>
      <w:proofErr w:type="spellEnd"/>
      <w:r>
        <w:rPr>
          <w:sz w:val="28"/>
          <w:szCs w:val="28"/>
        </w:rPr>
        <w:t xml:space="preserve"> воздействию будет оставаться стабильной и иметь положительную динамику. В 2023 году численность занятых в экономике города оценивается на уровне 607,2 тыс. чел., в прогнозируемом периоде (к 2026 году) численность занятых ожидается на уровне 608,7 тыс. человек.</w:t>
      </w:r>
    </w:p>
    <w:p w:rsidR="00A27DF6" w:rsidRDefault="00A27DF6" w:rsidP="00A27DF6">
      <w:pPr>
        <w:widowControl w:val="0"/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Секторами наибольшего притяжения занятости будут по-прежнему оставаться «торговля оптовая и розничная» и «обрабатывающие производства».</w:t>
      </w:r>
    </w:p>
    <w:p w:rsidR="00A27DF6" w:rsidRDefault="00A27DF6" w:rsidP="00A27DF6">
      <w:pPr>
        <w:widowControl w:val="0"/>
        <w:suppressAutoHyphens/>
        <w:ind w:firstLine="567"/>
        <w:jc w:val="both"/>
        <w:rPr>
          <w:sz w:val="28"/>
          <w:szCs w:val="28"/>
        </w:rPr>
      </w:pPr>
    </w:p>
    <w:p w:rsidR="00A27DF6" w:rsidRDefault="00A27DF6" w:rsidP="00A27DF6">
      <w:pPr>
        <w:widowControl w:val="0"/>
        <w:suppressAutoHyphens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4603750"/>
            <wp:effectExtent l="0" t="0" r="0" b="635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" b="-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концу текущего</w:t>
      </w:r>
      <w:r>
        <w:rPr>
          <w:sz w:val="28"/>
        </w:rPr>
        <w:t xml:space="preserve"> года в Нижнем Новгороде по оценке реальная заработная вырастет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на 6,6% (в РФ – на 6,2%). </w:t>
      </w:r>
      <w:r>
        <w:rPr>
          <w:sz w:val="28"/>
          <w:szCs w:val="28"/>
        </w:rPr>
        <w:t>Размер среднемесячной заработной платы в целом по городу оценивается на уровне 62,4 тыс. руб</w:t>
      </w:r>
      <w:r>
        <w:rPr>
          <w:sz w:val="28"/>
        </w:rPr>
        <w:t xml:space="preserve">. </w:t>
      </w: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Принимая во внимание сформировавшуюся динамику среднемесячной заработной платы на крупных и средних предприятиях города по итогам 6 мес. 2023 года, прогнозируется, что к концу года уровень заработной платы в «деятельности профессиональной, научной и технической», «деятельности в области информации и связи», «деятельности финансовой и страховой»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традиционно сложится существенно выше среднего значения по экономике. Превысит среднее значение также заработная плата в «строительстве», «деятельности в области культуры, спорта, организации досуга и развлечений», «обеспечении электрической энергией, газом и паром, кондиционировании воздуха» и «обрабатывающих производствах». </w:t>
      </w: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прочих видах экономической деятельности значение среднемесячной заработной платы оценивается ниже среднего значения по экономике. </w:t>
      </w: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434149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9" t="-1793" r="-1106" b="-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6" w:rsidRDefault="00A27DF6" w:rsidP="00A27DF6">
      <w:pPr>
        <w:widowControl w:val="0"/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прогнозном периоде темпы увеличения заработной платы будут определяться динамикой восстановления экономического роста. В 2024 – 2026 гг. динамика реальной заработной оценивается на уровне 102,5-104,2%.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Размер среднемесячной заработной платы прогнозируется на уровне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68,3-77,9 тыс. рублей.</w:t>
      </w:r>
    </w:p>
    <w:p w:rsidR="00A27DF6" w:rsidRDefault="00A27DF6" w:rsidP="00A27DF6">
      <w:pPr>
        <w:suppressAutoHyphens/>
        <w:ind w:firstLine="709"/>
        <w:jc w:val="center"/>
        <w:rPr>
          <w:rFonts w:ascii="Calibri" w:hAnsi="Calibri"/>
          <w:sz w:val="28"/>
          <w:szCs w:val="28"/>
        </w:rPr>
      </w:pPr>
    </w:p>
    <w:p w:rsidR="00A27DF6" w:rsidRPr="00D83554" w:rsidRDefault="00A27DF6" w:rsidP="00D83554">
      <w:pPr>
        <w:suppressAutoHyphens/>
        <w:jc w:val="center"/>
        <w:rPr>
          <w:sz w:val="28"/>
          <w:szCs w:val="28"/>
        </w:rPr>
      </w:pPr>
      <w:r w:rsidRPr="00D83554">
        <w:rPr>
          <w:sz w:val="28"/>
          <w:szCs w:val="28"/>
        </w:rPr>
        <w:t>4. Основные тенденции развития социальной сферы города Нижнего Новгорода</w:t>
      </w:r>
    </w:p>
    <w:p w:rsidR="00A27DF6" w:rsidRDefault="00A27DF6" w:rsidP="00A27DF6">
      <w:pPr>
        <w:tabs>
          <w:tab w:val="left" w:pos="1020"/>
        </w:tabs>
        <w:suppressAutoHyphens/>
        <w:ind w:firstLine="709"/>
        <w:jc w:val="both"/>
        <w:rPr>
          <w:color w:val="C00000"/>
          <w:sz w:val="32"/>
          <w:szCs w:val="32"/>
        </w:rPr>
      </w:pPr>
    </w:p>
    <w:p w:rsidR="00A27DF6" w:rsidRDefault="00A27DF6" w:rsidP="00D83554">
      <w:pPr>
        <w:ind w:firstLine="709"/>
        <w:jc w:val="both"/>
        <w:rPr>
          <w:color w:val="000000"/>
          <w:sz w:val="24"/>
          <w:szCs w:val="24"/>
        </w:rPr>
      </w:pPr>
      <w:r>
        <w:rPr>
          <w:sz w:val="28"/>
          <w:szCs w:val="28"/>
        </w:rPr>
        <w:t>Развитие отраслей социальной сферы, повышение доступности и качества социальных услуг является важным фактором удовлетворения потребностей населения и оказывает непосредственное влияние на качество жизни нижегородцев. В прогнозном периоде развитие социальной сферы будет определяться с учетом необходимости достижения целевых показателей и решения стратегических задач, определенных Указом Президента Российской Федерации от 21.07.2020 № 474 «О национальных целях развития Российской Федерации на период до 2030 года».</w:t>
      </w:r>
      <w:r>
        <w:t xml:space="preserve">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мероприятия в сфере образования предусмотрены муниципальной программой «Развитие образования в городе Нижнем Новгороде».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Дошкольное образование. На территории города Нижнего Новгорода программу дошкольного образования реализуют 333 образовательные организации, включающие: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307 муниципальных дошкольных образовательных учреждений;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 частных дошкольных организаций, имеющих лицензию на право ведения образовательной деятельности;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муниципальных общеобразовательных организаций, имеющих в составе группы дошкольного возраста;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 государственных учреждения;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 НОУ им. Михалкова.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качества предоставляемых услуг, оптимизации процесса управления учреждениями и эффективности использования ресурсов в текущем году завершена реорганизация 18 детских садов путем присоединения.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детей, посещающих дошкольные образовательные организации города – 70 604 человека, из них муниципальные – 69 074 человека.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воспитанников осуществляется в 2 889 группах различной направленности: общеразвивающей, компенсирующей, комбинированной, оздоровительной, а также в семейных группах.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детских садах функционируют 157 консультационных центров для неорганизованных детей с 2-х месяцев до 7-ми лет с учетом их возрастных особенностей.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Доступность дошкольного образования в 2022 году составляла: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97% – для детей с 1 года до 3-х лет;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100% – для детей с 3-х до 7-ми лет.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 году процент охвата детей ясельного возраста дошкольным образованием вырос, однако потребность в местах для детей до 3-х лет в детских садах остается ещё в Нижегородском районе города Нижнего Новгорода.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местами детей дошкольного возраста в 2023 году создано 2 539 мест во вновь построенных детских садах, в том числе 6</w:t>
      </w:r>
      <w:r w:rsidR="00D83554">
        <w:rPr>
          <w:sz w:val="28"/>
          <w:szCs w:val="28"/>
        </w:rPr>
        <w:t>05 мест для детей до 3-х лет, 1</w:t>
      </w:r>
      <w:r>
        <w:rPr>
          <w:sz w:val="28"/>
          <w:szCs w:val="28"/>
        </w:rPr>
        <w:t>934 места с 3-х до 7-ми лет.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в рамках федеральной программы «Содействие занятости» </w:t>
      </w:r>
      <w:r>
        <w:rPr>
          <w:rStyle w:val="FontStyle12"/>
          <w:szCs w:val="28"/>
        </w:rPr>
        <w:t xml:space="preserve">национального проекта «Демография» </w:t>
      </w:r>
      <w:r>
        <w:rPr>
          <w:sz w:val="28"/>
          <w:szCs w:val="28"/>
        </w:rPr>
        <w:t>создано 34 места в частных детских садах.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городе поддерживается высокий профессиональный уровень педагогических работников. В настоящее время в дошкольных образовательн</w:t>
      </w:r>
      <w:r w:rsidR="00D83554">
        <w:rPr>
          <w:sz w:val="28"/>
          <w:szCs w:val="28"/>
        </w:rPr>
        <w:t>ых организациях насчитывается 6</w:t>
      </w:r>
      <w:r>
        <w:rPr>
          <w:sz w:val="28"/>
          <w:szCs w:val="28"/>
        </w:rPr>
        <w:t xml:space="preserve">296 педагогических работников, из которых 6 043 имеют высшее профессиональное и среднее профессиональное образование. 80 % педагогов аттестовано на квалификационные категории.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стимулирования интеллектуальной и творческой активности педагогов продолжается организация различных конкурсов.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этом году на грант главы города «За лучшую программу развития и высокие результаты образовательной деятельности» было заявлено 7 дошкольных образовательных организаций, из которых 3 учреждения стали победителями конкурсного отбора. До конца 2023 года планируется провести конкурсный отбор на грант главы города «Молодой педагог».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 году двум детским садам выделены денежные средства на реализацию мероприятий подпрограммы «Формирование доступной для инвалидов среды жизнедеятельности в Нижегородской области» государственной программы «Социальная поддержка граждан Нижегородской области».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на базе детских садов созданы 3 городских ресурсных центра, целью которых является распространение перспективного педагогического опыта.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Ежегодно увеличивается число учреждений, реализующих программы дополнительного образования. На 01.09.2023 число детских садов, оказывающих дополнительные платные услуги, составляет 250 учреждений. Организация платных услуг в детском саду позволяет внедрять современные программы образования и продукты инновационной деятельности, что оказывает позитивное влияние на воспитание и развитие детей.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Основными направлениями деятельности дошкольного образования в 2024 – 2026 гг. будут являться: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введение и реализация новой Федеральной образовательной программы дошкольного образования;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новых мест для детей с ограниченными возможностями здоровья;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городских и районных ресурсных центров в образовательных организациях города Нижнего Новгорода;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мотивация работников дошкольных образовательных организаций к участию в конкурсных отборах, грантах, проектах различного уровня;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мониторинговых мероприятий системы оценки качества дошкольного образования;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профессионального роста педагогов;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работы по предоставлению дополнительных образовательных услуг детям в муниципальных образовательных организациях;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организационно–технического и информационно–методического сопровождения процедуры аттестации педагогических работников.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образование. В 2023 – 2024 уч. г. общеобразовательная система города Нижнего Новгорода представлена 154 учреждениями основного общего и среднего общего образования с количеством обучающихся –144 821 (на 01 сентября 2023 года). Среди них: 11 гимназий, 9 лицеев и 22 школы с углубленным изучением отдельных предметов. Также, учебный процесс представлен альтернативной формой семейного образования (в данной форме обучается 1 050 чел.).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образовательных организациях города работает 15 551 чел. педагогических и руководящих работников, из них педагогических работников – 13 937 чел. 74% педагогов имеет высшее образование. 81% педагогических работников аттестованы на квалификационные категории.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критерием эффективности деятельности системы образования является успеваемость учащихся. Общая успеваемость на протяжении пяти лет остается постоянной (99,5%). Стабильно высок процент качества обучения (57 %).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 – 2024 уч. г. общеобразовательные организации продолжают поэтапный переход на обновленные федеральные государственные образовательные стандарты начального общего, основного общего и среднего общего образования, особенностью которого является создание единого образовательного пространства, в том числе в части реализации образовательных программ и используемых учебников.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Общеобразовательные организации города принимают активное участие в реализации федеральных проектов национального проекта «Образование».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федерального проекта «Современная школа» открыты центры образования цифрового и гуманитарного профилей «Точка роста» (2 школы). Открыт первый в городе школьный 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>, в котором есть все необходимое для расширения содержания общего образования и реализации дополнительных общеобразовательных программ, обеспечивающих развитие у обучающихся современных компетенций и навыков, в том числе естественнонаучной, математической, информационной грамотности, формирование критического и креативного мышления.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2023 году был открыт Городской ресурсный центр «Бережливая личность», направленный на объединение усилий образовательных организаций по формированию навыков и компетенций бережливой личности у школьников и педагогов посредством изучения и применения инструментов бережливого производства.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Значимым событием в работе по профилактике детского дорожно-транспортного травматизма стало открытие в 2023 году МБУ ДО «Юный автомобилист» Городского ресурсного центра по обеспечению информационной и научно-методической поддержки образовательного процесса по профилактике детского дорожно-транспортного травматизма.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 году к участию в федеральном проекте «Цифровая образовательная среда», задачей которого является создание современной и безопасной цифровой образовательной среды, обеспечивающей высокое качество и доступность образования всех видов и уровней, присоединились ещё 4 школы.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уделяется образованию детей с ограниченными возможностями здоровья и инвалидов, созданию для них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среды. С целью оказания методической поддержки управленческим командам школ, повышения компетенции педагогов, работающим с детьми с ограниченными возможностями здоровья, в 2023 году состоялось открытие 2-х Городских ресурсных центров.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 сентября 2023 года для детей с расстройством аутистического спектра дополнительно открыты 2 ресурсных и 5 автономных классов в общеобразовательных организациях.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9 школ города Нижнего Новгорода приняли участие в соискании премии города Нижнего Новгорода, 1 из них была удостоена премии города.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соискании гранта главы города Нижнего Новгорода «За лучшую программу развития и высокие результаты образовательной деятельности» приняли участие 12 школ, 6 из которых стали победителями гранта.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городе часть общеобразовательных организаций продолжают свою работу в двухсменном режиме. Доля учащихся, занимающихся во вторую смену в 2023 – 2024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 xml:space="preserve">., составит 26% от общей численности, обучающихся в муниципальных школах (в 2022 – 2023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 – 20%). Увеличение показателя второй смены связано с ростом числа обучающихся, проведением в общеобразовательных организациях капитального ремонта, а также с активным строительством новых микрорайонов.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ликвидации второй смены продолжается работа по строительству общеобразовательных учреждений. В период с сентября 2022 года по сентябрь 2023 года на территории города Нижнего Новгорода были открыты 2 новые школы на 2 050 мест. В сентябре 2023 года были открыты 2 </w:t>
      </w:r>
      <w:proofErr w:type="spellStart"/>
      <w:r>
        <w:rPr>
          <w:sz w:val="28"/>
          <w:szCs w:val="28"/>
        </w:rPr>
        <w:t>пристроя</w:t>
      </w:r>
      <w:proofErr w:type="spellEnd"/>
      <w:r>
        <w:rPr>
          <w:sz w:val="28"/>
          <w:szCs w:val="28"/>
        </w:rPr>
        <w:t xml:space="preserve"> к действующим школам на 650 мест.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уделяется материально-технической базе школ. В 2023 году выполнены мероприятия по модернизации внутреннего освещения в 20 образовательных организациях. Планируется проведение данных работ и в других школах города.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выполнены мероприятия по разработке проекта модернизации пищеблоков и обеденных залов. Реализация запланирована на 2023 - 2025 гг. со </w:t>
      </w:r>
      <w:r w:rsidR="00D83554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100 % охватом общеобразовательных организаций. В 2023 году в проекте приняли участие 53 школы.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работа по обеспечению антитеррористической защищенности образовательных организаций (до 2028 года).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прогнозном периоде планируется продолжить следующую работу: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реализации федеральных проектов национального проекта «Образование»;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обеспечения доступности качественного образования с целью максимального удовлетворения образовательных запросов населения и рынка труда города;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адаптивной среды для обучения детей с ограниченными возможностями здоровья на каждом уровне образования;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цифровая трансформация образовательных организаций;</w:t>
      </w:r>
    </w:p>
    <w:p w:rsidR="00A27DF6" w:rsidRDefault="00A27DF6" w:rsidP="00A27DF6">
      <w:pPr>
        <w:ind w:firstLine="708"/>
        <w:jc w:val="both"/>
        <w:rPr>
          <w:sz w:val="24"/>
          <w:szCs w:val="24"/>
        </w:rPr>
      </w:pPr>
      <w:r>
        <w:rPr>
          <w:sz w:val="28"/>
          <w:szCs w:val="28"/>
        </w:rPr>
        <w:t>обеспечение работы городских ресурсных центров.</w:t>
      </w:r>
      <w:r>
        <w:t xml:space="preserve">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Дополнительное образование и воспитание. 19 учреждений дополнительного образования, 152 общеобразовательные организации и 259 дошкольных организаций на территории города Нижнего Новгорода реализуют программы дополнительного образования через информационную систему «Навигатор дополнительного образования Нижегородской области».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 году охват дополнительными общеразвивающими программами всеми образовательными организациями города остается высоким, практически на уровне прошлого года (75,8% от общего числа детей 5 – 17 лет</w:t>
      </w:r>
      <w:r w:rsidR="00D83554">
        <w:rPr>
          <w:sz w:val="28"/>
          <w:szCs w:val="28"/>
        </w:rPr>
        <w:t>). Всего в 2023 году выдано 167</w:t>
      </w:r>
      <w:r>
        <w:rPr>
          <w:sz w:val="28"/>
          <w:szCs w:val="28"/>
        </w:rPr>
        <w:t>536 сертификатов дополнительного образования (118,1% от установленного показателя).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реализация федерального проекта «Успех каждого ребенка», в рамках которого общеобразовательные организации открыли новые места дополнительного образования, получив оборудование для занятий.  В текущем году в проект вошл</w:t>
      </w:r>
      <w:r w:rsidR="00D83554">
        <w:rPr>
          <w:sz w:val="28"/>
          <w:szCs w:val="28"/>
        </w:rPr>
        <w:t>а ещё 31 организация (создано 7</w:t>
      </w:r>
      <w:r>
        <w:rPr>
          <w:sz w:val="28"/>
          <w:szCs w:val="28"/>
        </w:rPr>
        <w:t xml:space="preserve">631 </w:t>
      </w:r>
      <w:proofErr w:type="spellStart"/>
      <w:r w:rsidR="00D83554">
        <w:rPr>
          <w:sz w:val="28"/>
          <w:szCs w:val="28"/>
        </w:rPr>
        <w:t>ученико</w:t>
      </w:r>
      <w:proofErr w:type="spellEnd"/>
      <w:r w:rsidR="00D83554">
        <w:rPr>
          <w:sz w:val="28"/>
          <w:szCs w:val="28"/>
        </w:rPr>
        <w:t>-место). Всего открыто 1</w:t>
      </w:r>
      <w:r>
        <w:rPr>
          <w:sz w:val="28"/>
          <w:szCs w:val="28"/>
        </w:rPr>
        <w:t xml:space="preserve">013 дополнительных общеразвивающих программ различных направленностей. В 2024 году запланировано открытие в 46 организациях 7 924 новых </w:t>
      </w:r>
      <w:proofErr w:type="spellStart"/>
      <w:r>
        <w:rPr>
          <w:sz w:val="28"/>
          <w:szCs w:val="28"/>
        </w:rPr>
        <w:t>ученико</w:t>
      </w:r>
      <w:proofErr w:type="spellEnd"/>
      <w:r>
        <w:rPr>
          <w:sz w:val="28"/>
          <w:szCs w:val="28"/>
        </w:rPr>
        <w:t>-мест.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Сохраняется высокий процент охвата мероприятиями городского </w:t>
      </w:r>
      <w:proofErr w:type="spellStart"/>
      <w:r>
        <w:rPr>
          <w:sz w:val="28"/>
          <w:szCs w:val="28"/>
        </w:rPr>
        <w:t>мегапроекта</w:t>
      </w:r>
      <w:proofErr w:type="spellEnd"/>
      <w:r>
        <w:rPr>
          <w:sz w:val="28"/>
          <w:szCs w:val="28"/>
        </w:rPr>
        <w:t xml:space="preserve"> «Мы вместе» - координирующей системы по воспитанию школьников города. Участниками данного проекта в истекшем учебном году стали 96% школ города.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 дополнительного образования продолжают активно принимать участие в различных творческих конкурсах. В 2023 году стали обладателями 14 различных грантов 6 учреждений дополнительного образования и одно учреждение получило премию города Нижнего Новгорода. </w:t>
      </w:r>
    </w:p>
    <w:p w:rsidR="00A27DF6" w:rsidRDefault="00D83554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27DF6">
        <w:rPr>
          <w:sz w:val="28"/>
          <w:szCs w:val="28"/>
        </w:rPr>
        <w:t>733 обучающихся стали обладателями призовых ме</w:t>
      </w:r>
      <w:r>
        <w:rPr>
          <w:sz w:val="28"/>
          <w:szCs w:val="28"/>
        </w:rPr>
        <w:t>ст в международных конкурсах, 4</w:t>
      </w:r>
      <w:r w:rsidR="00A27DF6">
        <w:rPr>
          <w:sz w:val="28"/>
          <w:szCs w:val="28"/>
        </w:rPr>
        <w:t xml:space="preserve">452 – во всероссийских. 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проводятся более 300 воспитательных мероприятий для более чем 70 тысяч школьников, среди них: «Классный руководитель года», «Семья года», «Школа безопасности «Зарница», «Вожатый города» и др.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в прогнозном периоде в сфере дополнительного образования детей будут: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участия не менее 50% общеобразовательных организаций в создании новых мест дополнительного образования детей в рамках федерального проекта «Успех каждого ребенка»;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охвата детей дополнительным образованием в 2024 году – 80%, 2025 году – 80,3%, 2026 году – 80,6 % от числа детей 5 – 17 лет, проживающих на территории Нижнего Новгорода;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участия обучающихся города во Всероссийском движении детей и молодежи «Движение первых» в объеме 100%;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усиление патриотического воспитания подрастающего поколения.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сферы физической культуры и спорта в прогнозируемом периоде будет осуществляться в соответствии с федеральным проектом «Спорт-норма жизни» национального проекта «Демография», муниципальной программой «Развитие физической культуры и спорта в городе Нижнем Новгороде».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целью муниципальной программы является создание условий, обеспечивающих возможность различным категориям граждан систематически заниматься физической культурой и спортом. 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в городе имеется спортивная база разной ведомственной принадлежности: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640 спортивных залов;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684 плоскостных спортивных сооружений;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110 плавательных бассейнов.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 наблюдается положительная динамика по увеличению количества объектов спортивной инфраструктуры. Обеспеченность города плоскостными спортивными сооружениями – 32,6 % (2021 г. – 32 %), спортивными залами – 57,4 % (2021 г. – 56,4 %), плавательными бассейнами – 20,8 % (2021 г. – 18,7 %).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на территории города Нижнего Новгорода функционирует 27 муниципальных спортивных школ и 1 муниципальное автономное учреждение «МЦ спортивных объектов и ГТО».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дальнейшего развития массового спорта и повышения уровня обеспеченности населения объектами физической культуры и спорта в городе принимаются меры по плановому капитальному ремонту, реконструкции и строительству новых спортивных объектов.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истекший период 2023 года установлено 16 многофункциональных спортивных площадок (</w:t>
      </w:r>
      <w:proofErr w:type="spellStart"/>
      <w:r>
        <w:rPr>
          <w:sz w:val="28"/>
          <w:szCs w:val="28"/>
        </w:rPr>
        <w:t>воркаут</w:t>
      </w:r>
      <w:proofErr w:type="spellEnd"/>
      <w:r>
        <w:rPr>
          <w:sz w:val="28"/>
          <w:szCs w:val="28"/>
        </w:rPr>
        <w:t>) и 7 площадок модернизировано.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проекта инициативного бюджетирования «Вам решать» завершается устройство 15 спортивных объектов и ремонт 6 спортивных объектов.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ведется текущий ремонт в 10 спортивных школах и капитальный ремонт в 8 спортивных школах.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Проводятся работы </w:t>
      </w:r>
      <w:r w:rsidRPr="008D3BAF">
        <w:rPr>
          <w:sz w:val="28"/>
          <w:szCs w:val="28"/>
        </w:rPr>
        <w:t>по устройству</w:t>
      </w:r>
      <w:r>
        <w:rPr>
          <w:sz w:val="28"/>
          <w:szCs w:val="28"/>
        </w:rPr>
        <w:t xml:space="preserve"> 2-х </w:t>
      </w:r>
      <w:proofErr w:type="spellStart"/>
      <w:proofErr w:type="gramStart"/>
      <w:r>
        <w:rPr>
          <w:sz w:val="28"/>
          <w:szCs w:val="28"/>
        </w:rPr>
        <w:t>скейт</w:t>
      </w:r>
      <w:proofErr w:type="spellEnd"/>
      <w:r>
        <w:rPr>
          <w:sz w:val="28"/>
          <w:szCs w:val="28"/>
        </w:rPr>
        <w:t>-парков</w:t>
      </w:r>
      <w:proofErr w:type="gramEnd"/>
      <w:r>
        <w:rPr>
          <w:sz w:val="28"/>
          <w:szCs w:val="28"/>
        </w:rPr>
        <w:t xml:space="preserve"> и 1 универсальной спортивной площадки.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«Новый социальный вектор» ОАО «Группа «ГАЗ» совместно с администрацией города Нижнего Новгорода продолжают реализовывать мероприятия по улучшению состояния социальной сферы города. В настоящее время разрабатывается проектно-сметная документация для строительства «Центра спортивных единоборств». Выполнение проекта запланировано на 2023-2024 годы.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Ведется работа по определению источников финансирования (в том числе прорабатываются условия концессии) для реализации в 2023-2025 годах следующих проектов: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легкоатлетического манежа;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футбольного поля и строительство спортивных объектов на территории спортивного комплекса «Искра»;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реконструкция спортивных и хозяйственных объектов на территории МБУ «Спортивная школа «Водник».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дальнейшей перспективе планируется: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«Физкультурно-оздоровительного комплекса для развития волейбола»;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спортивного зала для развития настольного тенниса;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спортивного зала для баскетбола.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Также, прорабатывается вопрос благоустройства и развития территории МАОУ ДО СШ «Дворец спорта Юность». Предусматривается возведение каркасно-тентовых сооружений на территории спортивной школы для проведения учебно-тренировочного процесса.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продолжать участие в реализации Адресной инвестиционной программы Нижегородской области. В 2023 году направлена повторная заявка на включение в нее строительства 8 спортивных универсальных площадок для игр в футбол, хоккей, баскетбол.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Благодаря проводимой работе по реконструкции и ремонту объектов спортивной инфраструктуры повышается интерес к занятиям спортом, что обеспечивает увеличение числа желающих заниматься физической культурой и спортом. Доля горожан, систематически занимающихся физической культурой и спортом, по итогам 2022 года составила 50,2%.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Популяризации спорта также способствует проведение </w:t>
      </w:r>
      <w:r>
        <w:rPr>
          <w:sz w:val="28"/>
          <w:szCs w:val="28"/>
        </w:rPr>
        <w:t xml:space="preserve">городских спортивных мероприятий и соревнований, которые проходят согласно календарному плану, сформированному на основании заявок от общественных организаций федераций по видам спорта, спортивных клубов и др.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истекшем периоде текущего года проведено мероприятий 475 мероприятий с охватом около 64 283 человека. Всего в 2023 году запланировано провести 1 148 спортивных мероприятий с охватом более 180 000 человек.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По-прежнему активно ведется приобщение детей в возрасте от 6 до 15 лет к занятиям физической культурой и спортом. В настоящее время численность детей, обучающихся в муниципальных спортивных школах, составляет 19 519 человек.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работа по проекту «Спорт в каждый двор». Бесплатные тренировки с профессиональными тренерами на спортивных площадках и в парках города Нижнего Новгорода пользуются большим спросом у горожан, желающих заниматься физической культурой и спортом. С момента старта реализации проекта (2022 год) количество человек, посетивших тренировки, составляет около 17 109 человек, проведено занятий 2 530.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уделяется обеспечению доступности занятиями физической культурой и спортом для лиц с ограниченными возможностями здоровья, в том числе для детей-инвалидов (далее – ОВЗ).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Продолжают активно функционировать ранее открытые отделения для детей с ОВЗ: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спортивному ориентированию;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паралимпийскому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голболу</w:t>
      </w:r>
      <w:proofErr w:type="spellEnd"/>
      <w:r>
        <w:rPr>
          <w:sz w:val="28"/>
          <w:szCs w:val="28"/>
        </w:rPr>
        <w:t>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картингу.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открылись группы по адаптивным видам спорта: </w:t>
      </w:r>
      <w:proofErr w:type="spellStart"/>
      <w:r>
        <w:rPr>
          <w:sz w:val="28"/>
          <w:szCs w:val="28"/>
        </w:rPr>
        <w:t>следж</w:t>
      </w:r>
      <w:proofErr w:type="spellEnd"/>
      <w:r>
        <w:rPr>
          <w:sz w:val="28"/>
          <w:szCs w:val="28"/>
        </w:rPr>
        <w:t xml:space="preserve">-хоккею, специальному хоккею, </w:t>
      </w:r>
      <w:proofErr w:type="spellStart"/>
      <w:r>
        <w:rPr>
          <w:sz w:val="28"/>
          <w:szCs w:val="28"/>
        </w:rPr>
        <w:t>бочче</w:t>
      </w:r>
      <w:proofErr w:type="spellEnd"/>
      <w:r>
        <w:rPr>
          <w:sz w:val="28"/>
          <w:szCs w:val="28"/>
        </w:rPr>
        <w:t xml:space="preserve">, настольному теннису, </w:t>
      </w:r>
      <w:proofErr w:type="spellStart"/>
      <w:r>
        <w:rPr>
          <w:sz w:val="28"/>
          <w:szCs w:val="28"/>
        </w:rPr>
        <w:t>флорболу</w:t>
      </w:r>
      <w:proofErr w:type="spellEnd"/>
      <w:r>
        <w:rPr>
          <w:sz w:val="28"/>
          <w:szCs w:val="28"/>
        </w:rPr>
        <w:t xml:space="preserve">, баскетболу, футболу, плаванию. </w:t>
      </w:r>
    </w:p>
    <w:p w:rsidR="00A27DF6" w:rsidRDefault="00A27DF6" w:rsidP="00A27DF6">
      <w:pPr>
        <w:tabs>
          <w:tab w:val="left" w:pos="142"/>
          <w:tab w:val="left" w:pos="3686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Д</w:t>
      </w:r>
      <w:r>
        <w:rPr>
          <w:sz w:val="28"/>
          <w:szCs w:val="28"/>
          <w:lang w:eastAsia="en-US"/>
        </w:rPr>
        <w:t xml:space="preserve">альнейшее повышение доступности спорта для лиц с ОВЗ останется одной из важных задач. </w:t>
      </w:r>
      <w:r>
        <w:rPr>
          <w:sz w:val="28"/>
          <w:szCs w:val="28"/>
        </w:rPr>
        <w:t>Планируется открытие отделений еще в 3-х муниципальных учреждениях (ФОК «Заречье», ФОК «Северная звезда» и ФОК «</w:t>
      </w:r>
      <w:proofErr w:type="spellStart"/>
      <w:r>
        <w:rPr>
          <w:sz w:val="28"/>
          <w:szCs w:val="28"/>
        </w:rPr>
        <w:t>Приокский</w:t>
      </w:r>
      <w:proofErr w:type="spellEnd"/>
      <w:r>
        <w:rPr>
          <w:sz w:val="28"/>
          <w:szCs w:val="28"/>
        </w:rPr>
        <w:t xml:space="preserve">»), имеющих соответствующую спортивную базу для проведения занятий для лиц с ОВЗ.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городе проводится активная работа по популяризации сдачи норм ВФСК ГТО. На перспективный период планируется продолжить работу в данном направлении и привлечь максимальное количество людей к сдаче нормативов, сделав традиционным летний городской фестиваль ВСФК ГТО среди обучающихся общеобразовательных организаций, трудовых коллективов и семейных команд. 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информационной поддержки спортивной отрасли используются различные средства массовой информации.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продолжена реализация совместного проекта администрации города Нижнего Новгорода и ГТРК «Нижний Новгород» по выпуску телевизионных программ «Вести-спорт». Еженедельно в каждом новом выпуске рассказывается о популярных на территории города Нижнего Новгорода видах спорта, профессиональных спортсменах и спортсменах любителях, а также о проводимых и предстоящих спортивных мероприятиях.</w:t>
      </w:r>
    </w:p>
    <w:p w:rsidR="00A27DF6" w:rsidRDefault="00A27DF6" w:rsidP="00A27DF6">
      <w:pPr>
        <w:ind w:firstLine="709"/>
        <w:jc w:val="both"/>
        <w:rPr>
          <w:sz w:val="24"/>
          <w:szCs w:val="24"/>
        </w:rPr>
      </w:pPr>
      <w:r>
        <w:rPr>
          <w:sz w:val="28"/>
          <w:szCs w:val="28"/>
        </w:rPr>
        <w:t>Все эти мероприятия положительно сказываются на сохранении позитивных тенденций развития массовой физической культуры и спорта на территории города на</w:t>
      </w:r>
      <w:r>
        <w:t xml:space="preserve"> </w:t>
      </w:r>
      <w:r>
        <w:rPr>
          <w:sz w:val="28"/>
          <w:szCs w:val="28"/>
        </w:rPr>
        <w:t>протяжении последних лет.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прогнозный период запланировано постепенное увеличение количества массовых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- спортивных мероприятий и их участников (к 2026 году количество участников должно достигнуть 183 тыс. человек.).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Ожидается увеличение и количества вовлеченных жителей в занятия физической культурой и спортом, в том числе и за счет проекта «Спорт в каждый двор» (к 2026 году – 59%).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прогнозный период основными задачами будут: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сохранение и развитие спортивной инфраструктуры;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занятий физической культурой и спортом;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материально-технической базы муниципальных учреждений;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эффективности деятельности спортивных школ;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приобщение населения к регулярным занятиям физической культурой и спортом;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популяризация физической культуры, спорта и здорового образа жизни.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Туризм. Нижний Новгород является одним из наиболее динамично развивающихся туристических городов страны. Преимуществами города является собственное историко-культурное наследие, уникальная архитектура, насыщенная программа пребывания, культурные события, высокий уровень комфорта городской среды, наличие развлекательных объектов для детей и взрослых.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 обладает удобным логистическим расположением на пересечении автомобильных и железнодорожных магистралей, системой речного сообщения и авиасообщения, что перспективно для его встраивания в систему въездного и внутреннего туризма (в том числе в активно развивающееся направление «туров выходного дня»). 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постоянной основе осуществляется информационное обеспечение продвижения нижегородского турпродукта и создание комфортной информационной </w:t>
      </w:r>
      <w:r>
        <w:rPr>
          <w:sz w:val="28"/>
          <w:szCs w:val="28"/>
        </w:rPr>
        <w:lastRenderedPageBreak/>
        <w:t>среды, осуществляется поддержка официального туристического портала Нижнего Новгорода nn-grad.ru.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города Нижнего Новгорода работают 59 туроператоров (по состоянию на 01.01.2023), два туристско-информационных центра, около 500 гидов и экскурсоводов (около 100 аттестованных Нижегородской Ассоциацией экскурсоводов и гидов-переводчиков), в том числе около 40 со знанием иностранных языков. 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гостиничного бизнеса города Нижнего Новгорода на конец 2022 года представлена 148 гостиничными объе</w:t>
      </w:r>
      <w:r w:rsidR="00D83554">
        <w:rPr>
          <w:sz w:val="28"/>
          <w:szCs w:val="28"/>
        </w:rPr>
        <w:t>ктами с общим номерным фондом 5</w:t>
      </w:r>
      <w:r>
        <w:rPr>
          <w:sz w:val="28"/>
          <w:szCs w:val="28"/>
        </w:rPr>
        <w:t>372 ед. За прошедший период 2023 года в туристической части города открылся арт-отель «</w:t>
      </w:r>
      <w:proofErr w:type="spellStart"/>
      <w:r>
        <w:rPr>
          <w:sz w:val="28"/>
          <w:szCs w:val="28"/>
        </w:rPr>
        <w:t>Bobo</w:t>
      </w:r>
      <w:proofErr w:type="spellEnd"/>
      <w:r>
        <w:rPr>
          <w:sz w:val="28"/>
          <w:szCs w:val="28"/>
        </w:rPr>
        <w:t xml:space="preserve">» на </w:t>
      </w:r>
      <w:proofErr w:type="spellStart"/>
      <w:r>
        <w:rPr>
          <w:sz w:val="28"/>
          <w:szCs w:val="28"/>
        </w:rPr>
        <w:t>ул.Большой</w:t>
      </w:r>
      <w:proofErr w:type="spellEnd"/>
      <w:r>
        <w:rPr>
          <w:sz w:val="28"/>
          <w:szCs w:val="28"/>
        </w:rPr>
        <w:t xml:space="preserve"> Покровской (57 номеров на 83 места) и отель «История» на улице Кожевенной (32 номера на 60 мест). Большой популярностью среди гостей города пользуется сегмент мини-отелей и хостелов (более 30 ед.).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Поток прибывающих в город туристов ежегодно увеличивается в связи с повышением спроса граждан на путешествия внутри страны. Дополнительному увеличению туристического потока способствовало получение Нижним Новгородом статуса «Новогодней столицей России» в 2022 году, «Столицы детского туризма 2022-2023».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2022 года общее количество туристов, посетивших</w:t>
      </w:r>
      <w:r w:rsidR="00D83554">
        <w:rPr>
          <w:sz w:val="28"/>
          <w:szCs w:val="28"/>
        </w:rPr>
        <w:t xml:space="preserve"> Нижний Новгород, составило 823</w:t>
      </w:r>
      <w:r>
        <w:rPr>
          <w:sz w:val="28"/>
          <w:szCs w:val="28"/>
        </w:rPr>
        <w:t>763 человека (по статистическим данным о численности лиц, размещенных в коллективных средствах размещения).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Положительное влияние на привлечение туристов в Нижний Новгород окажет также реализация в 2023 году проекта по созданию туристического кода центра города, в рамках которого планируется внедрение единого архитектурного кода и дизайн-кода, обновление в соответствии с ним вывесок, навигации, создание инклюзивной среды и новых точек притяжения туристов.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Развитию туристского потенциала города в ближайшие годы будет способствовать реализация проектов в связи с получением Нижним Новгородом статуса «Молодёжной столицы России 2023», а также «Культурной столицы 2024 года», проведение мероприятий разных форматов, в том числе: новогодней Горьковской ярмарки (последнюю посетило более 32 тыс. человек), международной ярмарки изделий мастеров народных художественных промыслов и декоративно-прикладного искусства «Секреты мастеров» (посетило 110,6 тыс. человек), фестивалей «Столица закатов», «Горький </w:t>
      </w:r>
      <w:r>
        <w:rPr>
          <w:sz w:val="28"/>
          <w:szCs w:val="28"/>
          <w:lang w:val="en-US"/>
        </w:rPr>
        <w:t>fest</w:t>
      </w:r>
      <w:r>
        <w:rPr>
          <w:sz w:val="28"/>
          <w:szCs w:val="28"/>
        </w:rPr>
        <w:t>», «Да, Шеф!» и др.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Комплексное развитие туризма предполагает не только продвижение туристского потенциала города Нижнего Новгорода на международном и российском рынках туристских услуг, но и развитие туристской инфраструктуры.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числе первоочередных мероприятий по развитию инфраструктуры: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системы пешеходной туристской навигации,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изготовление и установка уличных конструкций, табличек к объектам </w:t>
      </w:r>
      <w:proofErr w:type="spellStart"/>
      <w:r>
        <w:rPr>
          <w:sz w:val="28"/>
          <w:szCs w:val="28"/>
        </w:rPr>
        <w:t>турпоказа</w:t>
      </w:r>
      <w:proofErr w:type="spellEnd"/>
      <w:r>
        <w:rPr>
          <w:sz w:val="28"/>
          <w:szCs w:val="28"/>
        </w:rPr>
        <w:t>, размещение информации на указателях, организация временных туристско-информационных пунктов в центре города;</w:t>
      </w:r>
    </w:p>
    <w:p w:rsidR="00A27DF6" w:rsidRDefault="00A27DF6" w:rsidP="00A27DF6">
      <w:pPr>
        <w:ind w:right="-1"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создание новых центров притяжения туристов и их продвижение.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Международные и экономические связи. Нижний Новгород продолжает активное сотрудничество в сфере международных отношений, развивает межрегиональные связи, а также активно продвигает позитивный имидж Нижнего Новгорода на международной арене. Это способствует налаживанию прямых связей между </w:t>
      </w:r>
      <w:r>
        <w:rPr>
          <w:sz w:val="28"/>
          <w:szCs w:val="28"/>
        </w:rPr>
        <w:lastRenderedPageBreak/>
        <w:t>предприятиями, вузами, школами, учреждениями культуры и спорта, туристскими организациями, привлечению иностранных инвесторов.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продвижения Нижнего Новгорода в России и за рубежом эффективно используется механизм побратимских и партнерских отношений. Система побратимских связей выстраивается в направлениях, представляющих интерес для города, его жителей и расположенных в нем предприятий, учреждений и организаций.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2023 года по линии администрации города Нижнего Новгорода город посетили зарубежные делегации из следующих стран: Республика Абхазия, Республика Армения, Китайская Народная Республика, Сербия, Республика Сербская, Республика Молдова, Республика Кот-д’Ивуар, Республика Узбекистан, Киргизская Республика, Республика Таджикистан. 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Нижний Новгород сотрудничает с 21 городом-побратимом и 5 городами-партнерами, и продолжает уделять внимание установлению новых взаимовыгодных отношений.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2023 года подписано 8 соглашений при участии администрации города Нижнего Новгорода: с Администрацией города Луганска Луганской Народной Республики, с городом </w:t>
      </w:r>
      <w:proofErr w:type="spellStart"/>
      <w:r>
        <w:rPr>
          <w:sz w:val="28"/>
          <w:szCs w:val="28"/>
        </w:rPr>
        <w:t>Уси</w:t>
      </w:r>
      <w:proofErr w:type="spellEnd"/>
      <w:r>
        <w:rPr>
          <w:sz w:val="28"/>
          <w:szCs w:val="28"/>
        </w:rPr>
        <w:t xml:space="preserve"> (КНР), с городом Браззавилем (Республика Конго), с Центром исследования и развития искусства бумажного вырезания (</w:t>
      </w:r>
      <w:proofErr w:type="spellStart"/>
      <w:r>
        <w:rPr>
          <w:sz w:val="28"/>
          <w:szCs w:val="28"/>
        </w:rPr>
        <w:t>Цзяньчжи</w:t>
      </w:r>
      <w:proofErr w:type="spellEnd"/>
      <w:r>
        <w:rPr>
          <w:sz w:val="28"/>
          <w:szCs w:val="28"/>
        </w:rPr>
        <w:t xml:space="preserve">) уезда </w:t>
      </w:r>
      <w:proofErr w:type="spellStart"/>
      <w:r>
        <w:rPr>
          <w:sz w:val="28"/>
          <w:szCs w:val="28"/>
        </w:rPr>
        <w:t>Фанчжэн</w:t>
      </w:r>
      <w:proofErr w:type="spellEnd"/>
      <w:r>
        <w:rPr>
          <w:sz w:val="28"/>
          <w:szCs w:val="28"/>
        </w:rPr>
        <w:t xml:space="preserve"> города</w:t>
      </w:r>
      <w:r w:rsidR="00D83554">
        <w:rPr>
          <w:sz w:val="28"/>
          <w:szCs w:val="28"/>
        </w:rPr>
        <w:t xml:space="preserve"> Харбин (КНР) и 3 соглашения с </w:t>
      </w:r>
      <w:r>
        <w:rPr>
          <w:sz w:val="28"/>
          <w:szCs w:val="28"/>
        </w:rPr>
        <w:t xml:space="preserve">городом </w:t>
      </w:r>
      <w:proofErr w:type="spellStart"/>
      <w:r>
        <w:rPr>
          <w:sz w:val="28"/>
          <w:szCs w:val="28"/>
        </w:rPr>
        <w:t>Цзинань</w:t>
      </w:r>
      <w:proofErr w:type="spellEnd"/>
      <w:r>
        <w:rPr>
          <w:sz w:val="28"/>
          <w:szCs w:val="28"/>
        </w:rPr>
        <w:t xml:space="preserve"> (КНР).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Нижний Новгород имеет положительный опыт развития сотрудничества в различных сферах с рядом городов России (прежде всего, Казанью, Чебоксарами, Самарой, Саратовом, Владимиром, Сочи, Тюменью). Межрегиональное сотрудничество представляет интерес не только с точки зрения восстановления и укрепления народнохозяйственных связей, но и обмена опытом и выработки единого подхода к решению важных проблем.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Нижний Новгород также активно участвует в мероприятиях, проводимых Ассоциацией городов Поволжья, Союзом российских городов и Всемирной организацией «Города и местные власти», Ассоциацией «Совет муниципальных образований Нижегородской области». 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Перспективы развития внешнеэкономических и межрегиональных связей в прогнозируемом периоде 2024-2026 гг. города Нижнего Новгорода: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налаживание и расширение взаимовыгодного сотрудничества между представителями бизнеса и предпринимательской деятельности, направленного на увеличение товарооборота и рост инвестиций между городами-побратимами;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торгово-экономического потенциала, правовых преференций и льготных режимов городов-побратимов для расширения экспортно-импортных операций,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возможностей параллельного импорта, в условиях </w:t>
      </w:r>
      <w:proofErr w:type="spellStart"/>
      <w:r>
        <w:rPr>
          <w:sz w:val="28"/>
          <w:szCs w:val="28"/>
        </w:rPr>
        <w:t>санкционного</w:t>
      </w:r>
      <w:proofErr w:type="spellEnd"/>
      <w:r>
        <w:rPr>
          <w:sz w:val="28"/>
          <w:szCs w:val="28"/>
        </w:rPr>
        <w:t xml:space="preserve"> давления;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научно-технического сотрудничества между городами-побратимами в области высоких технологий и ИТ;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узнаваемости и привлекательности Нижнег</w:t>
      </w:r>
      <w:r w:rsidR="00D83554">
        <w:rPr>
          <w:sz w:val="28"/>
          <w:szCs w:val="28"/>
        </w:rPr>
        <w:t xml:space="preserve">о Новгорода, </w:t>
      </w:r>
      <w:r>
        <w:rPr>
          <w:sz w:val="28"/>
          <w:szCs w:val="28"/>
        </w:rPr>
        <w:t>укрепление положительного образа города и региона в различных странах;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популяризация туристского потенциала Нижнего Новгорода, способствование созданию международных туристических организаций, увеличение туристических потоков между городами-побратимами;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количества зарубежных абитуриентов нижегородских вузов;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проведение совместных мероприятий в сфере культуры, образования, здравоохранения, включая онлайн форматы;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 совместных спортивных мероприятий, обмен тренерским опытом;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proofErr w:type="spellStart"/>
      <w:r>
        <w:rPr>
          <w:sz w:val="28"/>
          <w:szCs w:val="28"/>
        </w:rPr>
        <w:t>выставочно</w:t>
      </w:r>
      <w:proofErr w:type="spellEnd"/>
      <w:r>
        <w:rPr>
          <w:sz w:val="28"/>
          <w:szCs w:val="28"/>
        </w:rPr>
        <w:t>-ярмарочной деятельности городов-побратимов;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обмен передовыми практиками в ча</w:t>
      </w:r>
      <w:r w:rsidR="00D83554">
        <w:rPr>
          <w:sz w:val="28"/>
          <w:szCs w:val="28"/>
        </w:rPr>
        <w:t>сти преодоления мировых вызовов</w:t>
      </w:r>
      <w:r>
        <w:rPr>
          <w:sz w:val="28"/>
          <w:szCs w:val="28"/>
        </w:rPr>
        <w:t xml:space="preserve"> (Covid-19, экономические кризисы, экология и пр.);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продвижение интересов нижегородского бизнеса, некоммерческих организаций, учреждений науки, образования, культуры и спорта на международной арене;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работе вновь создаваемого Международного центра туризма в рамках БРИКС;</w:t>
      </w:r>
    </w:p>
    <w:p w:rsidR="00A27DF6" w:rsidRDefault="00A27DF6" w:rsidP="00A27DF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сотрудничества с потенциальными городами-побратимами и партнерами в приоритетных странах: Турция, Индия, Иран, Сирия, Казахстан, Азербайджан, Киргизия и пр. 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Нижнем Новгороде для преобразования и совершенствования отрасли культуры, сохранения и развития культурного наследия, оказания качественных услуг в сфере культуры, повышения их доступности утверждена муниципальная программа «Развитие культуры города Нижнего Новгорода». Целью, которой является удовлетворение потребностей населения в сфере культуры и искусства, повышение привлекательности и эффективности деятельности муниципальных учреждений культуры и дополнительного образования. 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данной цели предполагается посредством решения следующих задач: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повышения доступности и качества предоставляемых услуг населению муниципальными учреждениями культуры и дополнительного образования в сфере культуры и искусства;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создания надлежащих условий, оснащения и совершенствования материально-технической базы муниципальных учреждений;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обеспечения эффективного функционирования сферы культуры.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сеть муниципальных учреждений культуры и дополнительного образования города Нижнего Новгорода включает в себя 55 учреждений: 23 учреждения дополнительного образования, 6 музеев, 4 театра, 5 учреждений культуры клубного типа, 3 концертные организации, 10 библиотек, МАУК «Дирекция парков и скверов города Нижнего Новгорода», МАУК «Парк Швейцария», МАУК «Дирекция по проведению культурно-массовых мероприятий города Нижнего Новгорода», МАУК «Нижегородский планетарий им. </w:t>
      </w:r>
      <w:proofErr w:type="spellStart"/>
      <w:r>
        <w:rPr>
          <w:sz w:val="28"/>
          <w:szCs w:val="28"/>
        </w:rPr>
        <w:t>Г.М.Гречко</w:t>
      </w:r>
      <w:proofErr w:type="spellEnd"/>
      <w:r>
        <w:rPr>
          <w:sz w:val="28"/>
          <w:szCs w:val="28"/>
        </w:rPr>
        <w:t>».</w:t>
      </w:r>
    </w:p>
    <w:p w:rsidR="00A27DF6" w:rsidRDefault="00A27DF6" w:rsidP="00A27DF6">
      <w:pPr>
        <w:shd w:val="clear" w:color="auto" w:fill="FFFFFF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обеспеченности организациями культурно-досугового типа Нижний Новгород в количественном отношении испытывает потребность в дополнительных концертных залах, парках культуры и отдыха. 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достижений в сфере культуры - проведение крупных культурно-образовательных проектов и мероприятий. В 2023 году Нижегородский театр комедии провел II Всероссийский </w:t>
      </w:r>
      <w:proofErr w:type="spellStart"/>
      <w:r>
        <w:rPr>
          <w:sz w:val="28"/>
          <w:szCs w:val="28"/>
        </w:rPr>
        <w:t>моножанровый</w:t>
      </w:r>
      <w:proofErr w:type="spellEnd"/>
      <w:r>
        <w:rPr>
          <w:sz w:val="28"/>
          <w:szCs w:val="28"/>
        </w:rPr>
        <w:t xml:space="preserve"> фестиваль театральных комедий и Летнюю сессию </w:t>
      </w:r>
      <w:proofErr w:type="spellStart"/>
      <w:r>
        <w:rPr>
          <w:sz w:val="28"/>
          <w:szCs w:val="28"/>
        </w:rPr>
        <w:t>Вахтанговского</w:t>
      </w:r>
      <w:proofErr w:type="spellEnd"/>
      <w:r>
        <w:rPr>
          <w:sz w:val="28"/>
          <w:szCs w:val="28"/>
        </w:rPr>
        <w:t xml:space="preserve"> фестиваля театральных менеджеров «Поволжье – 2023». Также, в этом году в Нижнем Новгороде прошел Первый Всероссийский культурно-просветительский фестиваль «Детство», организованный Государственным музеем </w:t>
      </w:r>
      <w:proofErr w:type="spellStart"/>
      <w:r>
        <w:rPr>
          <w:sz w:val="28"/>
          <w:szCs w:val="28"/>
        </w:rPr>
        <w:t>А.М.Горького</w:t>
      </w:r>
      <w:proofErr w:type="spellEnd"/>
      <w:r>
        <w:rPr>
          <w:sz w:val="28"/>
          <w:szCs w:val="28"/>
        </w:rPr>
        <w:t xml:space="preserve"> в год 155-летия писателя Максима Горького и в год 110-</w:t>
      </w:r>
      <w:r>
        <w:rPr>
          <w:sz w:val="28"/>
          <w:szCs w:val="28"/>
        </w:rPr>
        <w:lastRenderedPageBreak/>
        <w:t>летия со дня создания знаменитой повести «Детство».  Особое значение уделяется проведению культурно-досуговых мероприятий патриотической направленности.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Осуществляется планомерная работа по выстраиванию культурного взаимодействия с учреждениями культуры других городов РФ. В 2023 году в Нижнем Новгороде состоялась презентация историко-культурного и просветительского проекта «Горький в </w:t>
      </w:r>
      <w:proofErr w:type="spellStart"/>
      <w:r>
        <w:rPr>
          <w:sz w:val="28"/>
          <w:szCs w:val="28"/>
        </w:rPr>
        <w:t>Красновидово</w:t>
      </w:r>
      <w:proofErr w:type="spellEnd"/>
      <w:r>
        <w:rPr>
          <w:sz w:val="28"/>
          <w:szCs w:val="28"/>
        </w:rPr>
        <w:t>». Презентацию проекта провели ученые-исследователи, этнографы, писатели, культурологи и музееведы Республики Татарстан.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городе продолжается активная работа по продвижению федеральной программы «Пушкинская карта». Свыше 150 видов мероприятий доступно по этой карте в Нижегородских театрах, музеях, творческих коллективах, домах культуры, а также в библиотеках.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большего охвата населения культурно-досуговыми мероприятиями на прогнозный период 2024-2026 гг. запланировано проведение как уже традиционных городских мероприятий, так и разработка новых культурно-досуговых событий для разных категорий граждан.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Сохраняя традиции, будут организованы такие события, как: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празднование Дня Победы;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всероссийская акция «Ночь музеев»;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фольклорный фестиваль «Хрустальный ключ»;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празднование Дня города Нижнего Новгорода;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новогодний фестиваль «Горьковская елка»;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фестиваль «Осень в Швейцарии»;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День народного единства;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фестиваль театральных комедий «</w:t>
      </w:r>
      <w:proofErr w:type="spellStart"/>
      <w:r>
        <w:rPr>
          <w:sz w:val="28"/>
          <w:szCs w:val="28"/>
        </w:rPr>
        <w:t>Комед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я-</w:t>
      </w:r>
      <w:proofErr w:type="spellStart"/>
      <w:r>
        <w:rPr>
          <w:sz w:val="28"/>
          <w:szCs w:val="28"/>
        </w:rPr>
        <w:t>фест</w:t>
      </w:r>
      <w:proofErr w:type="spellEnd"/>
      <w:r>
        <w:rPr>
          <w:sz w:val="28"/>
          <w:szCs w:val="28"/>
        </w:rPr>
        <w:t>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вручение Премии города Нижнего Новгорода;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вручение ежегодной премии молодым театральным деятелям «Нижегородская жемчужина»;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фестиваль «Новые имена»;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конкурс культурных событий «Культурный район»;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всероссийский культурно-просветительский фестиваль «Детство»;</w:t>
      </w:r>
    </w:p>
    <w:p w:rsidR="00A27DF6" w:rsidRDefault="00A27DF6" w:rsidP="00A27DF6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Детский Пасхальный Хоровой Собор.</w:t>
      </w:r>
    </w:p>
    <w:p w:rsidR="00A27DF6" w:rsidRDefault="00A27DF6" w:rsidP="00A27DF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интереса к культурной жизни города у жителей и гостей города за счет активной работы по увеличению количества и качества проводимых мероприятий, продвижению мероприятий посредством активной рекламной кампании в СМИ и социальных сетях, а также создания комфортных условий для посещения мероприятий (доступность и удобство мест проведения, разнообразие программ и форматов) будет способствовать увеличению числа посещений культурно-досуговых мероприятий.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учреждений культуры и дополнительного образования города Нижнего Новгорода 2023 год является годом развития и внедрения новых практик, модернизаций пространств и ресурсов, участия в новых проектах.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Продолжается процесс создания единой общегородской библиотечной системы города Нижнего Новгорода (далее - ОБИС). ОБИС позволит создать единую базу книг и читателей по всему городу. В рамках внедрения ОБИС будет реализовано введение единого читательского билета. После полного внедрения ОБИС будет создан общегородской библиотечный сайт. Любой пользователь, зайдя на этот </w:t>
      </w:r>
      <w:r>
        <w:rPr>
          <w:sz w:val="28"/>
          <w:szCs w:val="28"/>
        </w:rPr>
        <w:lastRenderedPageBreak/>
        <w:t>сайт, сможет найти нужную ему книгу в любой муниципальной библиотеке города, забронировать её для выдачи на дом.</w:t>
      </w:r>
    </w:p>
    <w:p w:rsidR="00A27DF6" w:rsidRDefault="00A27DF6" w:rsidP="00A27D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Учреждениями культуры ведется активная работа по подготовке проектов для участия в </w:t>
      </w:r>
      <w:proofErr w:type="spellStart"/>
      <w:r>
        <w:rPr>
          <w:sz w:val="28"/>
          <w:szCs w:val="28"/>
        </w:rPr>
        <w:t>грантовых</w:t>
      </w:r>
      <w:proofErr w:type="spellEnd"/>
      <w:r>
        <w:rPr>
          <w:sz w:val="28"/>
          <w:szCs w:val="28"/>
        </w:rPr>
        <w:t xml:space="preserve"> конкурсах президентского фонда культурных инициатив. В 2023 году по результатам первого основного </w:t>
      </w:r>
      <w:proofErr w:type="spellStart"/>
      <w:r>
        <w:rPr>
          <w:sz w:val="28"/>
          <w:szCs w:val="28"/>
        </w:rPr>
        <w:t>грантового</w:t>
      </w:r>
      <w:proofErr w:type="spellEnd"/>
      <w:r>
        <w:rPr>
          <w:sz w:val="28"/>
          <w:szCs w:val="28"/>
        </w:rPr>
        <w:t xml:space="preserve"> конкурса 3 проекта на общую сумму 18,8 млн. руб. были поддержаны </w:t>
      </w:r>
      <w:proofErr w:type="spellStart"/>
      <w:r>
        <w:rPr>
          <w:sz w:val="28"/>
          <w:szCs w:val="28"/>
        </w:rPr>
        <w:t>софинансированием</w:t>
      </w:r>
      <w:proofErr w:type="spellEnd"/>
      <w:r>
        <w:rPr>
          <w:sz w:val="28"/>
          <w:szCs w:val="28"/>
        </w:rPr>
        <w:t xml:space="preserve">. На 2024 год на </w:t>
      </w:r>
      <w:proofErr w:type="spellStart"/>
      <w:r>
        <w:rPr>
          <w:sz w:val="28"/>
          <w:szCs w:val="28"/>
        </w:rPr>
        <w:t>грантовый</w:t>
      </w:r>
      <w:proofErr w:type="spellEnd"/>
      <w:r>
        <w:rPr>
          <w:sz w:val="28"/>
          <w:szCs w:val="28"/>
        </w:rPr>
        <w:t xml:space="preserve"> конкурс заявлено 17 проектов.</w:t>
      </w:r>
    </w:p>
    <w:p w:rsidR="00A27DF6" w:rsidRDefault="00A27DF6" w:rsidP="00A27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Важным аспектом для учреждений культуры и дополнительного образования является участие в национальном проекте «Культура». В 2023 году в рамках нацпроекта «Культура» проведены мероприятия по модернизации 2-х библиотек в рамках создания модельных муниципальных библиотек Нижегородской области.</w:t>
      </w:r>
      <w:r>
        <w:t xml:space="preserve"> </w:t>
      </w:r>
      <w:r>
        <w:rPr>
          <w:sz w:val="28"/>
          <w:szCs w:val="28"/>
        </w:rPr>
        <w:t xml:space="preserve">Ещё 2 библиотеки принимают участие в текущем году в конкурсе на создание модельных библиотек в 2024 году.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улучшения материально-технической базы учреждений культуры выполняются работы по капитальному ремонту в библиотеках, детских школах искусств и музыкальных школах. Вводятся в эксплуатацию новые площади в функционирующих детских школах искусств, что позволяет увеличить число учащихся и улучшить условия образовательного процесса.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завершаются работы по капитальному ремонту с элементами реставрации в МАУК «Нижегородский планетарий </w:t>
      </w:r>
      <w:proofErr w:type="spellStart"/>
      <w:r>
        <w:rPr>
          <w:sz w:val="28"/>
          <w:szCs w:val="28"/>
        </w:rPr>
        <w:t>им.Г.М.Гречко</w:t>
      </w:r>
      <w:proofErr w:type="spellEnd"/>
      <w:r>
        <w:rPr>
          <w:sz w:val="28"/>
          <w:szCs w:val="28"/>
        </w:rPr>
        <w:t>». Также, на завершающей стадии находится реставрация ОКН «Изба» МАУК «Архитектурно-этнографический музей-заповедник «</w:t>
      </w:r>
      <w:proofErr w:type="spellStart"/>
      <w:r>
        <w:rPr>
          <w:sz w:val="28"/>
          <w:szCs w:val="28"/>
        </w:rPr>
        <w:t>Щелоковский</w:t>
      </w:r>
      <w:proofErr w:type="spellEnd"/>
      <w:r>
        <w:rPr>
          <w:sz w:val="28"/>
          <w:szCs w:val="28"/>
        </w:rPr>
        <w:t xml:space="preserve"> хутор», «Дом Н.А. Бугрова», «Дом, в котором в 1836 году родился и жил до 1853 года Добролюбов Николай Александрович». Проводится капитальный ремонт помещения МБУК «Ансамбль народной песни «Любава».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Продолжается текущий и капитальный ремонт в МБУК «Детский театр «Вера», МБУК </w:t>
      </w:r>
      <w:proofErr w:type="spellStart"/>
      <w:r>
        <w:rPr>
          <w:sz w:val="28"/>
          <w:szCs w:val="28"/>
        </w:rPr>
        <w:t>ЦКиД</w:t>
      </w:r>
      <w:proofErr w:type="spellEnd"/>
      <w:r>
        <w:rPr>
          <w:sz w:val="28"/>
          <w:szCs w:val="28"/>
        </w:rPr>
        <w:t xml:space="preserve"> «Молодежный» (1 этап), МБУК «Театр музыкально - пластической драмы «Преображение».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прогнозный период планируются работы по капитальному ремонту в МАУК «Дворец культуры </w:t>
      </w:r>
      <w:proofErr w:type="spellStart"/>
      <w:r>
        <w:rPr>
          <w:sz w:val="28"/>
          <w:szCs w:val="28"/>
        </w:rPr>
        <w:t>им.С.Орджоникидзе</w:t>
      </w:r>
      <w:proofErr w:type="spellEnd"/>
      <w:r>
        <w:rPr>
          <w:sz w:val="28"/>
          <w:szCs w:val="28"/>
        </w:rPr>
        <w:t xml:space="preserve">», ДК «Новинки», МБУК </w:t>
      </w:r>
      <w:proofErr w:type="spellStart"/>
      <w:r>
        <w:rPr>
          <w:sz w:val="28"/>
          <w:szCs w:val="28"/>
        </w:rPr>
        <w:t>ЦКиД</w:t>
      </w:r>
      <w:proofErr w:type="spellEnd"/>
      <w:r>
        <w:rPr>
          <w:sz w:val="28"/>
          <w:szCs w:val="28"/>
        </w:rPr>
        <w:t xml:space="preserve"> «Молодежный», МБУК «Нижегородский театр комедии», МБУК «Музейно-выставочный центр «Микула», МБУК ОДЦ «Смена» и «Орленок», 3-х библиотеках и 3-х детских школах искусств.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для укрепления материально-технической базы организаций культуры будет продолжена работа по: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проведению текущих и капитальных ремонтных и реставрационных работ объектов культуры (библиотек, детских школ искусств, детских музыкальных школ, дворца культуры, музеев, театров, объектов культурного наследия);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приобретению мебели, оргтехники и цифрового оборудования для муниципальных учреждений культуры и дополнительного образования;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обновлению фондов муниципальных публичных библиотек и организации на их базе современных информационных центров и библиотек нового формата.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Молодежная политика на территории города осуществляется в соответствии с муниципальной программой «Молодежь Нижнего Новгорода».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 рамках программы планируется: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комплекса мер по поддержке молодежных организаций и солидарностей;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организация и проведение мероприятий, направленных на формирование у молодежи духовно-нравственных, патриотических и семейных ценностей, устойчивых потребностей в творческой самореализации, установки на здоровый образ жизни;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мер по поощрению студенческой молодежи за достижения в учебе, поддержке социально незащищенных категорий студентов;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мер по поддержке инициатив молодежи;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>содействие участию молодежи в добровольческой (волонтерской) деятельности;</w:t>
      </w:r>
      <w:r>
        <w:rPr>
          <w:rFonts w:ascii="Calibri" w:hAnsi="Calibri"/>
          <w:sz w:val="28"/>
          <w:szCs w:val="28"/>
          <w:lang w:eastAsia="en-US"/>
        </w:rPr>
        <w:t xml:space="preserve">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развитие студенческого самоуправления. 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прогнозном периоде планируется проведение молодежных форумов различной направленности, в том числе: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ставшего одним из самых популярных карьерного форума «Молодой Нижний», который направлен на эффективное взаимодействие молодёжи и профессионального сообщества по вопросам создания условий развития системы образования и рынка труда на территории нашего города;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форума «Студенческий Нижний» для студенческой молодежи, который является неформальной образовательной площадкой для студентов ВУЗов и </w:t>
      </w:r>
      <w:proofErr w:type="spellStart"/>
      <w:r>
        <w:rPr>
          <w:sz w:val="28"/>
          <w:szCs w:val="28"/>
        </w:rPr>
        <w:t>ССУЗов</w:t>
      </w:r>
      <w:proofErr w:type="spellEnd"/>
      <w:r>
        <w:rPr>
          <w:sz w:val="28"/>
          <w:szCs w:val="28"/>
        </w:rPr>
        <w:t xml:space="preserve"> города. 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Активно функционирует городской студенческий совет города Нижнего Новгорода, в рамках работы которого в прогнозном периоде планируется проведение таких мероприятий как: «День Студента», «День первокурсника», «День здоровья», «Чистый Нижний», молодежный фестиваль пляжных видов спорта «Жара – значит лето!» др.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 свою работу и Молодежный совет специалистов предприятий и организаций города Нижнего Новгорода, при участии которого планируется проведение таких мероприятий как: </w:t>
      </w:r>
      <w:proofErr w:type="spellStart"/>
      <w:r>
        <w:rPr>
          <w:sz w:val="28"/>
          <w:szCs w:val="28"/>
        </w:rPr>
        <w:t>профориентационный</w:t>
      </w:r>
      <w:proofErr w:type="spellEnd"/>
      <w:r>
        <w:rPr>
          <w:sz w:val="28"/>
          <w:szCs w:val="28"/>
        </w:rPr>
        <w:t xml:space="preserve"> проект «В гости», конкурс «Трудовые династии», «Слет работающей молодежи» и др.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большего охвата молодежи программными мероприятиями будут проводиться различного рода проекты, соответствующие приоритетным направлениям реализации мо</w:t>
      </w:r>
      <w:r w:rsidR="00D83554">
        <w:rPr>
          <w:sz w:val="28"/>
          <w:szCs w:val="28"/>
        </w:rPr>
        <w:t xml:space="preserve">лодежной политики, в том числе </w:t>
      </w:r>
      <w:r>
        <w:rPr>
          <w:sz w:val="28"/>
          <w:szCs w:val="28"/>
        </w:rPr>
        <w:t xml:space="preserve">ставшие уже традиционными: </w:t>
      </w:r>
      <w:proofErr w:type="spellStart"/>
      <w:r>
        <w:rPr>
          <w:sz w:val="28"/>
          <w:szCs w:val="28"/>
        </w:rPr>
        <w:t>историко</w:t>
      </w:r>
      <w:proofErr w:type="spellEnd"/>
      <w:r>
        <w:rPr>
          <w:sz w:val="28"/>
          <w:szCs w:val="28"/>
        </w:rPr>
        <w:t xml:space="preserve"> – патриотический проект «Битва за Нижний», патриотический форум «Связь поколений», фес</w:t>
      </w:r>
      <w:r w:rsidR="00D83554">
        <w:rPr>
          <w:sz w:val="28"/>
          <w:szCs w:val="28"/>
        </w:rPr>
        <w:t xml:space="preserve">тиваль </w:t>
      </w:r>
      <w:r>
        <w:rPr>
          <w:sz w:val="28"/>
          <w:szCs w:val="28"/>
        </w:rPr>
        <w:t>«Мы – здоровое поколение!», «Самый спортивный».</w:t>
      </w:r>
    </w:p>
    <w:p w:rsidR="00A27DF6" w:rsidRDefault="00D83554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Будет продолжена работа в </w:t>
      </w:r>
      <w:r w:rsidR="00A27DF6">
        <w:rPr>
          <w:sz w:val="28"/>
          <w:szCs w:val="28"/>
        </w:rPr>
        <w:t xml:space="preserve">социальных сетях (группа «Молодой Нижний» </w:t>
      </w:r>
      <w:proofErr w:type="spellStart"/>
      <w:r w:rsidR="00A27DF6">
        <w:rPr>
          <w:sz w:val="28"/>
          <w:szCs w:val="28"/>
        </w:rPr>
        <w:t>ВКонтакте</w:t>
      </w:r>
      <w:proofErr w:type="spellEnd"/>
      <w:r w:rsidR="00A27DF6">
        <w:rPr>
          <w:sz w:val="28"/>
          <w:szCs w:val="28"/>
        </w:rPr>
        <w:t>), где размещается информация о проводимых мероприятиях.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добровольчества на территории города Нижнего Новгорода будут организованы мероприятия для волонтеров, в том числе районные слёты волонтерских организаций «Добро в Нижнем». Продолжится работа по формированию механизма мотивации молодежи к участию в волонтёрской деятельности и повышению социального статуса волонтёра.</w:t>
      </w:r>
    </w:p>
    <w:p w:rsidR="00A27DF6" w:rsidRDefault="00A27DF6" w:rsidP="00A27DF6">
      <w:pPr>
        <w:pStyle w:val="af7"/>
        <w:autoSpaceDE w:val="0"/>
        <w:autoSpaceDN w:val="0"/>
        <w:adjustRightInd w:val="0"/>
        <w:ind w:left="0"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 xml:space="preserve">В целях поощрения социально-значимой, интеллектуальной и творческой деятельности молодежи, а также в качестве меры дополнительной поддержки социально незащищенных категорий молодежи будут предоставляться городские именные стипендии. </w:t>
      </w:r>
    </w:p>
    <w:p w:rsidR="00A27DF6" w:rsidRDefault="00A27DF6" w:rsidP="00A27DF6">
      <w:pPr>
        <w:jc w:val="both"/>
        <w:rPr>
          <w:sz w:val="28"/>
          <w:szCs w:val="28"/>
        </w:rPr>
      </w:pPr>
    </w:p>
    <w:p w:rsidR="00A27DF6" w:rsidRDefault="00A27DF6" w:rsidP="00A27DF6">
      <w:pPr>
        <w:rPr>
          <w:sz w:val="28"/>
          <w:szCs w:val="28"/>
        </w:rPr>
        <w:sectPr w:rsidR="00A27DF6" w:rsidSect="00A30501">
          <w:headerReference w:type="default" r:id="rId27"/>
          <w:type w:val="continuous"/>
          <w:pgSz w:w="11907" w:h="16834"/>
          <w:pgMar w:top="993" w:right="851" w:bottom="568" w:left="1134" w:header="289" w:footer="289" w:gutter="0"/>
          <w:cols w:space="720"/>
          <w:titlePg/>
          <w:docGrid w:linePitch="272"/>
        </w:sectPr>
      </w:pPr>
    </w:p>
    <w:p w:rsidR="00A27DF6" w:rsidRDefault="00A27DF6" w:rsidP="00A27DF6">
      <w:pPr>
        <w:suppressAutoHyphens/>
        <w:ind w:left="13608"/>
        <w:rPr>
          <w:sz w:val="22"/>
          <w:szCs w:val="22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27DF6" w:rsidRDefault="00A27DF6" w:rsidP="00A27DF6">
      <w:pPr>
        <w:suppressAutoHyphens/>
        <w:ind w:left="13608"/>
        <w:rPr>
          <w:sz w:val="28"/>
          <w:szCs w:val="28"/>
        </w:rPr>
      </w:pPr>
      <w:r>
        <w:rPr>
          <w:sz w:val="28"/>
          <w:szCs w:val="28"/>
        </w:rPr>
        <w:t>к Прогнозу</w:t>
      </w:r>
    </w:p>
    <w:p w:rsidR="00A27DF6" w:rsidRPr="00D83554" w:rsidRDefault="00A27DF6" w:rsidP="00D83554">
      <w:pPr>
        <w:tabs>
          <w:tab w:val="center" w:pos="7599"/>
          <w:tab w:val="left" w:pos="14100"/>
        </w:tabs>
        <w:suppressAutoHyphens/>
        <w:jc w:val="center"/>
        <w:rPr>
          <w:sz w:val="28"/>
          <w:szCs w:val="28"/>
        </w:rPr>
      </w:pPr>
      <w:r w:rsidRPr="00D83554">
        <w:rPr>
          <w:sz w:val="28"/>
          <w:szCs w:val="28"/>
        </w:rPr>
        <w:t>Прогноз</w:t>
      </w:r>
    </w:p>
    <w:p w:rsidR="00A27DF6" w:rsidRPr="00D83554" w:rsidRDefault="00A27DF6" w:rsidP="00D83554">
      <w:pPr>
        <w:suppressAutoHyphens/>
        <w:jc w:val="center"/>
        <w:rPr>
          <w:sz w:val="28"/>
          <w:szCs w:val="28"/>
        </w:rPr>
      </w:pPr>
      <w:r w:rsidRPr="00D83554">
        <w:rPr>
          <w:sz w:val="28"/>
          <w:szCs w:val="28"/>
        </w:rPr>
        <w:t xml:space="preserve">основных </w:t>
      </w:r>
      <w:proofErr w:type="spellStart"/>
      <w:r w:rsidRPr="00D83554">
        <w:rPr>
          <w:sz w:val="28"/>
          <w:szCs w:val="28"/>
        </w:rPr>
        <w:t>бюджетообразующих</w:t>
      </w:r>
      <w:proofErr w:type="spellEnd"/>
      <w:r w:rsidRPr="00D83554">
        <w:rPr>
          <w:sz w:val="28"/>
          <w:szCs w:val="28"/>
        </w:rPr>
        <w:t xml:space="preserve"> показателей социально-экономического развития</w:t>
      </w:r>
    </w:p>
    <w:p w:rsidR="00A27DF6" w:rsidRPr="00D83554" w:rsidRDefault="00A27DF6" w:rsidP="00D83554">
      <w:pPr>
        <w:suppressAutoHyphens/>
        <w:jc w:val="center"/>
        <w:rPr>
          <w:sz w:val="28"/>
          <w:szCs w:val="28"/>
        </w:rPr>
      </w:pPr>
      <w:r w:rsidRPr="00D83554">
        <w:rPr>
          <w:sz w:val="28"/>
          <w:szCs w:val="28"/>
        </w:rPr>
        <w:t>города Нижнего Новгорода на 2024-2026 гг.</w:t>
      </w:r>
    </w:p>
    <w:p w:rsidR="00A27DF6" w:rsidRDefault="00A27DF6" w:rsidP="00A27DF6">
      <w:pPr>
        <w:suppressAutoHyphens/>
        <w:jc w:val="center"/>
        <w:rPr>
          <w:sz w:val="22"/>
          <w:szCs w:val="22"/>
        </w:rPr>
      </w:pPr>
    </w:p>
    <w:tbl>
      <w:tblPr>
        <w:tblW w:w="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1418"/>
        <w:gridCol w:w="1417"/>
        <w:gridCol w:w="1418"/>
        <w:gridCol w:w="1417"/>
        <w:gridCol w:w="1418"/>
        <w:gridCol w:w="1417"/>
      </w:tblGrid>
      <w:tr w:rsidR="00A27DF6" w:rsidTr="00D83554">
        <w:trPr>
          <w:trHeight w:val="20"/>
          <w:tblHeader/>
        </w:trPr>
        <w:tc>
          <w:tcPr>
            <w:tcW w:w="7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</w:t>
            </w:r>
          </w:p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прогноз</w:t>
            </w:r>
          </w:p>
        </w:tc>
      </w:tr>
      <w:tr w:rsidR="00A27DF6" w:rsidTr="00D83554">
        <w:trPr>
          <w:trHeight w:val="20"/>
          <w:tblHeader/>
        </w:trPr>
        <w:tc>
          <w:tcPr>
            <w:tcW w:w="7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 год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отгруженной продукции собственного производства, выполненных работ и услуг собственными силами (по полному кругу предприятий)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1 545 952,8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1 760 196,7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1 893 020,9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2 028 582,9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2 167 206,8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102,7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инвестиций в основной капитал за счет всех источников финансирования (по полному кругу)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161 767,8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172 435,3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186 710,9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202 372,7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219 981,8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104,7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Прибыль прибыльных организаций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209 218,2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223 971,7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237 414,1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251 563,3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266 810,8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действующих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106,1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розничного товарооборота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288 196,9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301 848,8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331 203,6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356 507,5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384 115,5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103,6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Оборот общественного питания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6 358,2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7 740,0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8 517,1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9 212,1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9 963,8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104,0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платных услуг населению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112 798,7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124 412,2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133 779,0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142 608,4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152 168,9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102,6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Фонд заработной платы,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382 352,8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429 541,3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469 563,3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502 432,7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535 593,3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действующих ценах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106,6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работников по территории, формирующих фонд оплаты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573,2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Реальная заработная плата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Справочно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DF6" w:rsidRDefault="00A27DF6">
            <w:pPr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A27DF6" w:rsidTr="00D83554">
        <w:trPr>
          <w:trHeight w:val="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Сводный индекс потребительских цен в среднегодовом исчислении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suppressAutoHyphens/>
              <w:jc w:val="center"/>
              <w:rPr>
                <w:sz w:val="24"/>
                <w:szCs w:val="24"/>
              </w:rPr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BE69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105-106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BE69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E69B2">
              <w:rPr>
                <w:sz w:val="22"/>
                <w:szCs w:val="22"/>
              </w:rPr>
              <w:t>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</w:tr>
    </w:tbl>
    <w:p w:rsidR="00A27DF6" w:rsidRDefault="00A27DF6" w:rsidP="00A27DF6">
      <w:pPr>
        <w:suppressAutoHyphens/>
        <w:jc w:val="center"/>
        <w:rPr>
          <w:rFonts w:eastAsia="Calibri"/>
          <w:color w:val="000000"/>
          <w:sz w:val="22"/>
          <w:szCs w:val="22"/>
        </w:rPr>
      </w:pPr>
    </w:p>
    <w:p w:rsidR="00A27DF6" w:rsidRDefault="00A27DF6" w:rsidP="00A27DF6">
      <w:pPr>
        <w:suppressAutoHyphens/>
        <w:rPr>
          <w:color w:val="FF0000"/>
          <w:sz w:val="22"/>
          <w:szCs w:val="22"/>
          <w:highlight w:val="yellow"/>
        </w:rPr>
      </w:pPr>
    </w:p>
    <w:p w:rsidR="00A27DF6" w:rsidRDefault="00A27DF6" w:rsidP="00A27DF6">
      <w:pPr>
        <w:rPr>
          <w:color w:val="FF0000"/>
          <w:sz w:val="22"/>
          <w:szCs w:val="22"/>
          <w:highlight w:val="yellow"/>
        </w:rPr>
        <w:sectPr w:rsidR="00A27DF6" w:rsidSect="00D83554">
          <w:pgSz w:w="16834" w:h="11907" w:orient="landscape"/>
          <w:pgMar w:top="709" w:right="1134" w:bottom="851" w:left="567" w:header="289" w:footer="289" w:gutter="0"/>
          <w:cols w:space="720"/>
        </w:sectPr>
      </w:pPr>
    </w:p>
    <w:p w:rsidR="00A27DF6" w:rsidRDefault="00A27DF6" w:rsidP="00D83554">
      <w:pPr>
        <w:suppressAutoHyphens/>
        <w:ind w:left="5670"/>
        <w:jc w:val="center"/>
        <w:rPr>
          <w:sz w:val="28"/>
          <w:szCs w:val="24"/>
        </w:rPr>
      </w:pPr>
      <w:r>
        <w:rPr>
          <w:sz w:val="28"/>
        </w:rPr>
        <w:lastRenderedPageBreak/>
        <w:t>П</w:t>
      </w:r>
      <w:r w:rsidR="00D83554">
        <w:rPr>
          <w:sz w:val="28"/>
        </w:rPr>
        <w:t>РИЛОЖЕНИЕ</w:t>
      </w:r>
      <w:r>
        <w:rPr>
          <w:sz w:val="28"/>
        </w:rPr>
        <w:t xml:space="preserve"> №</w:t>
      </w:r>
      <w:r w:rsidR="00D83554">
        <w:rPr>
          <w:sz w:val="28"/>
        </w:rPr>
        <w:t xml:space="preserve"> </w:t>
      </w:r>
      <w:r>
        <w:rPr>
          <w:sz w:val="28"/>
        </w:rPr>
        <w:t>2</w:t>
      </w:r>
    </w:p>
    <w:p w:rsidR="00D83554" w:rsidRDefault="00A27DF6" w:rsidP="00D83554">
      <w:pPr>
        <w:suppressAutoHyphens/>
        <w:ind w:left="5670"/>
        <w:jc w:val="center"/>
        <w:rPr>
          <w:sz w:val="28"/>
        </w:rPr>
      </w:pPr>
      <w:r>
        <w:rPr>
          <w:sz w:val="28"/>
        </w:rPr>
        <w:t>к постановлению администрации</w:t>
      </w:r>
    </w:p>
    <w:p w:rsidR="00A27DF6" w:rsidRDefault="00A27DF6" w:rsidP="00D83554">
      <w:pPr>
        <w:suppressAutoHyphens/>
        <w:ind w:left="5670"/>
        <w:jc w:val="center"/>
        <w:rPr>
          <w:sz w:val="28"/>
        </w:rPr>
      </w:pPr>
      <w:r>
        <w:rPr>
          <w:sz w:val="28"/>
        </w:rPr>
        <w:t>города</w:t>
      </w:r>
    </w:p>
    <w:p w:rsidR="00A27DF6" w:rsidRDefault="00A27DF6" w:rsidP="00D83554">
      <w:pPr>
        <w:suppressAutoHyphens/>
        <w:ind w:left="5670"/>
        <w:jc w:val="center"/>
        <w:rPr>
          <w:sz w:val="28"/>
        </w:rPr>
      </w:pPr>
      <w:r>
        <w:rPr>
          <w:sz w:val="28"/>
        </w:rPr>
        <w:t xml:space="preserve">от </w:t>
      </w:r>
      <w:r w:rsidR="007513F8">
        <w:rPr>
          <w:sz w:val="28"/>
        </w:rPr>
        <w:t>03.11.2023</w:t>
      </w:r>
      <w:r>
        <w:rPr>
          <w:sz w:val="28"/>
        </w:rPr>
        <w:t xml:space="preserve">  № </w:t>
      </w:r>
      <w:r w:rsidR="007513F8">
        <w:rPr>
          <w:sz w:val="28"/>
        </w:rPr>
        <w:t>8054</w:t>
      </w:r>
      <w:bookmarkStart w:id="3" w:name="_GoBack"/>
      <w:bookmarkEnd w:id="3"/>
    </w:p>
    <w:p w:rsidR="00A27DF6" w:rsidRDefault="00A27DF6" w:rsidP="00A27DF6">
      <w:pPr>
        <w:suppressAutoHyphens/>
        <w:ind w:firstLine="5954"/>
        <w:rPr>
          <w:sz w:val="28"/>
        </w:rPr>
      </w:pPr>
    </w:p>
    <w:p w:rsidR="00A27DF6" w:rsidRDefault="00A27DF6" w:rsidP="00A27DF6">
      <w:pPr>
        <w:suppressAutoHyphens/>
        <w:ind w:firstLine="4502"/>
        <w:rPr>
          <w:sz w:val="28"/>
        </w:rPr>
      </w:pPr>
    </w:p>
    <w:p w:rsidR="00A27DF6" w:rsidRDefault="00A27DF6" w:rsidP="00A27DF6">
      <w:pPr>
        <w:suppressAutoHyphens/>
        <w:ind w:firstLine="4502"/>
        <w:rPr>
          <w:sz w:val="28"/>
        </w:rPr>
      </w:pPr>
    </w:p>
    <w:p w:rsidR="00A27DF6" w:rsidRDefault="00A27DF6" w:rsidP="00A27DF6">
      <w:pPr>
        <w:suppressAutoHyphens/>
        <w:ind w:firstLine="4502"/>
        <w:rPr>
          <w:sz w:val="28"/>
        </w:rPr>
      </w:pPr>
    </w:p>
    <w:p w:rsidR="00A27DF6" w:rsidRDefault="00A27DF6" w:rsidP="00A27DF6">
      <w:pPr>
        <w:suppressAutoHyphens/>
        <w:autoSpaceDE w:val="0"/>
        <w:autoSpaceDN w:val="0"/>
        <w:adjustRightInd w:val="0"/>
        <w:spacing w:before="108" w:after="108"/>
        <w:jc w:val="center"/>
        <w:outlineLvl w:val="0"/>
        <w:rPr>
          <w:sz w:val="66"/>
        </w:rPr>
      </w:pPr>
    </w:p>
    <w:p w:rsidR="00A27DF6" w:rsidRDefault="00A27DF6" w:rsidP="00A27DF6">
      <w:pPr>
        <w:suppressAutoHyphens/>
        <w:autoSpaceDE w:val="0"/>
        <w:autoSpaceDN w:val="0"/>
        <w:adjustRightInd w:val="0"/>
        <w:spacing w:before="108" w:after="108"/>
        <w:jc w:val="center"/>
        <w:outlineLvl w:val="0"/>
        <w:rPr>
          <w:sz w:val="66"/>
        </w:rPr>
      </w:pP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>Скорректированный Прогноз</w:t>
      </w: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>социально – экономического развития города</w:t>
      </w:r>
    </w:p>
    <w:p w:rsidR="00A27DF6" w:rsidRDefault="00A27DF6" w:rsidP="00A27DF6">
      <w:pPr>
        <w:suppressAutoHyphens/>
        <w:jc w:val="center"/>
        <w:rPr>
          <w:sz w:val="66"/>
        </w:rPr>
      </w:pPr>
      <w:r>
        <w:rPr>
          <w:sz w:val="66"/>
        </w:rPr>
        <w:t xml:space="preserve"> Нижнего Новгорода </w:t>
      </w:r>
    </w:p>
    <w:p w:rsidR="00A27DF6" w:rsidRDefault="00A27DF6" w:rsidP="00A27DF6">
      <w:pPr>
        <w:suppressAutoHyphens/>
        <w:jc w:val="center"/>
        <w:rPr>
          <w:sz w:val="72"/>
        </w:rPr>
      </w:pPr>
      <w:r>
        <w:rPr>
          <w:sz w:val="66"/>
        </w:rPr>
        <w:t>на 2023-2032 годы</w:t>
      </w: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jc w:val="center"/>
        <w:rPr>
          <w:sz w:val="72"/>
        </w:rPr>
      </w:pPr>
    </w:p>
    <w:p w:rsidR="00A27DF6" w:rsidRDefault="00A27DF6" w:rsidP="00A27DF6">
      <w:pPr>
        <w:suppressAutoHyphens/>
        <w:rPr>
          <w:sz w:val="72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40"/>
          <w:szCs w:val="40"/>
        </w:rPr>
      </w:pPr>
    </w:p>
    <w:p w:rsidR="00A27DF6" w:rsidRDefault="00A27DF6" w:rsidP="00A27DF6">
      <w:pPr>
        <w:suppressAutoHyphens/>
        <w:rPr>
          <w:sz w:val="28"/>
          <w:szCs w:val="24"/>
        </w:rPr>
      </w:pPr>
    </w:p>
    <w:p w:rsidR="00A27DF6" w:rsidRDefault="00A27DF6" w:rsidP="00A27DF6">
      <w:pPr>
        <w:suppressAutoHyphens/>
        <w:jc w:val="center"/>
        <w:rPr>
          <w:sz w:val="28"/>
        </w:rPr>
      </w:pPr>
      <w:r>
        <w:rPr>
          <w:sz w:val="28"/>
        </w:rPr>
        <w:t>Нижний Новгород</w:t>
      </w:r>
    </w:p>
    <w:p w:rsidR="00A27DF6" w:rsidRDefault="00A27DF6" w:rsidP="00A27DF6">
      <w:pPr>
        <w:suppressAutoHyphens/>
        <w:jc w:val="center"/>
        <w:rPr>
          <w:sz w:val="28"/>
        </w:rPr>
      </w:pPr>
      <w:r>
        <w:rPr>
          <w:sz w:val="28"/>
        </w:rPr>
        <w:t>2023 год</w:t>
      </w:r>
    </w:p>
    <w:p w:rsidR="00A27DF6" w:rsidRDefault="00A27DF6" w:rsidP="00A27DF6">
      <w:pPr>
        <w:pStyle w:val="af7"/>
        <w:spacing w:line="276" w:lineRule="auto"/>
        <w:ind w:left="0"/>
        <w:jc w:val="center"/>
        <w:rPr>
          <w:sz w:val="28"/>
        </w:rPr>
      </w:pPr>
    </w:p>
    <w:p w:rsidR="00A27DF6" w:rsidRDefault="00A27DF6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Прогноз социально-экономического развития города Нижнего Новгорода на 2023-2032 годы (далее - долгосрочный прогноз) разработан в соответствии с: </w:t>
      </w:r>
    </w:p>
    <w:p w:rsidR="00A27DF6" w:rsidRPr="00D83554" w:rsidRDefault="007513F8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hyperlink r:id="rId28" w:history="1">
        <w:r w:rsidR="00A27DF6" w:rsidRPr="00D83554">
          <w:rPr>
            <w:rStyle w:val="af3"/>
            <w:bCs/>
            <w:color w:val="auto"/>
            <w:sz w:val="28"/>
            <w:szCs w:val="28"/>
            <w:u w:val="none"/>
          </w:rPr>
          <w:t>Бюджетным кодексом</w:t>
        </w:r>
      </w:hyperlink>
      <w:r w:rsidR="00A27DF6" w:rsidRPr="00D83554">
        <w:rPr>
          <w:sz w:val="28"/>
          <w:szCs w:val="28"/>
        </w:rPr>
        <w:t xml:space="preserve"> Российской Федерации;</w:t>
      </w:r>
    </w:p>
    <w:p w:rsidR="00A27DF6" w:rsidRPr="00D83554" w:rsidRDefault="007513F8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hyperlink r:id="rId29" w:history="1">
        <w:r w:rsidR="00A27DF6" w:rsidRPr="00D83554">
          <w:rPr>
            <w:rStyle w:val="af3"/>
            <w:bCs/>
            <w:color w:val="auto"/>
            <w:sz w:val="28"/>
            <w:szCs w:val="28"/>
            <w:u w:val="none"/>
          </w:rPr>
          <w:t>Федеральным законом</w:t>
        </w:r>
      </w:hyperlink>
      <w:r w:rsidR="00A27DF6" w:rsidRPr="00D83554">
        <w:rPr>
          <w:sz w:val="28"/>
          <w:szCs w:val="28"/>
        </w:rPr>
        <w:t xml:space="preserve"> от 28.06.2014 № 172-ФЗ «О стратегическом планировании в Российской Федерации»;</w:t>
      </w:r>
    </w:p>
    <w:p w:rsidR="00A27DF6" w:rsidRDefault="007513F8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hyperlink r:id="rId30" w:history="1">
        <w:r w:rsidR="00A27DF6" w:rsidRPr="00D83554">
          <w:rPr>
            <w:rStyle w:val="af3"/>
            <w:bCs/>
            <w:color w:val="auto"/>
            <w:sz w:val="28"/>
            <w:szCs w:val="28"/>
            <w:u w:val="none"/>
          </w:rPr>
          <w:t>законом</w:t>
        </w:r>
      </w:hyperlink>
      <w:r w:rsidR="00A27DF6" w:rsidRPr="00D83554">
        <w:rPr>
          <w:sz w:val="28"/>
          <w:szCs w:val="28"/>
        </w:rPr>
        <w:t xml:space="preserve"> </w:t>
      </w:r>
      <w:r w:rsidR="00A27DF6">
        <w:rPr>
          <w:sz w:val="28"/>
          <w:szCs w:val="28"/>
        </w:rPr>
        <w:t>Нижегородской области от 03.03.2015 № 24-З «О стратегическом планировании в Нижегородской области»;</w:t>
      </w:r>
    </w:p>
    <w:p w:rsidR="00A27DF6" w:rsidRDefault="00A27DF6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решением городской Думы города Нижнего Новгорода от 29.05.2013 № 79 «О Положении о бюджетном процессе в городе Нижнем Новгороде»;</w:t>
      </w:r>
    </w:p>
    <w:p w:rsidR="00A27DF6" w:rsidRDefault="00A27DF6" w:rsidP="00A27DF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города Нижнего Новгорода от 23.12.2015                          № 2899 «Об утверждении Порядка разработки и корректировки прогноза социально-экономического развития города Нижнего Новгорода на долгосрочный период». 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параметры долгосрочного прогноза города Нижнего Новгорода, приведенные в разделе 4, скорректированы с учетом следующих документов: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проекта прогноза социально-экономического развития города Нижнего Новгорода на 2024 - 2026 гг.;</w:t>
      </w:r>
    </w:p>
    <w:p w:rsidR="00A27DF6" w:rsidRDefault="00A27DF6" w:rsidP="00A27DF6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прогноза социально-экономического развития Российской Федерации на 2024 год и на плановый период 2025 и 2026 годов;</w:t>
      </w:r>
    </w:p>
    <w:p w:rsidR="00A27DF6" w:rsidRDefault="00A27DF6" w:rsidP="00A27DF6">
      <w:pPr>
        <w:tabs>
          <w:tab w:val="num" w:pos="0"/>
        </w:tabs>
        <w:ind w:firstLine="709"/>
        <w:jc w:val="both"/>
        <w:rPr>
          <w:bCs/>
          <w:iCs/>
          <w:sz w:val="28"/>
          <w:szCs w:val="32"/>
        </w:rPr>
      </w:pPr>
      <w:r>
        <w:rPr>
          <w:sz w:val="28"/>
          <w:szCs w:val="28"/>
        </w:rPr>
        <w:t xml:space="preserve">основных параметров </w:t>
      </w:r>
      <w:r>
        <w:rPr>
          <w:bCs/>
          <w:iCs/>
          <w:sz w:val="28"/>
          <w:szCs w:val="32"/>
        </w:rPr>
        <w:t>прогноза социально-экономического развития Нижегородской области на среднесрочный период</w:t>
      </w:r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32"/>
        </w:rPr>
        <w:t>(на 2024 год и на плановый период 2025 и 2026 годов);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прогноза социально-экономического развития Нижегородской области на долгосрочный период (до 2035 года), утвержденного постановлением Правительства Нижегородской области от 06.02.2019 № 59.</w:t>
      </w:r>
    </w:p>
    <w:p w:rsidR="00A27DF6" w:rsidRDefault="00A27DF6" w:rsidP="00A27DF6">
      <w:pPr>
        <w:tabs>
          <w:tab w:val="left" w:pos="2700"/>
        </w:tabs>
        <w:suppressAutoHyphens/>
        <w:ind w:firstLine="709"/>
        <w:jc w:val="both"/>
        <w:rPr>
          <w:rFonts w:ascii="Calibri" w:hAnsi="Calibri"/>
          <w:color w:val="000000"/>
          <w:sz w:val="28"/>
          <w:szCs w:val="28"/>
        </w:rPr>
      </w:pPr>
    </w:p>
    <w:p w:rsidR="00A27DF6" w:rsidRDefault="00A27DF6" w:rsidP="00E0792F">
      <w:pPr>
        <w:tabs>
          <w:tab w:val="left" w:pos="270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Оценка достигнутого уровня социально-экономического развития </w:t>
      </w:r>
    </w:p>
    <w:p w:rsidR="00A27DF6" w:rsidRDefault="00A27DF6" w:rsidP="00E0792F">
      <w:pPr>
        <w:tabs>
          <w:tab w:val="left" w:pos="270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города Нижнего Новгорода</w:t>
      </w:r>
    </w:p>
    <w:p w:rsidR="00A27DF6" w:rsidRDefault="00A27DF6" w:rsidP="00A27DF6">
      <w:pPr>
        <w:tabs>
          <w:tab w:val="left" w:pos="2700"/>
        </w:tabs>
        <w:suppressAutoHyphens/>
        <w:ind w:firstLine="709"/>
        <w:jc w:val="center"/>
        <w:rPr>
          <w:rFonts w:ascii="Calibri" w:hAnsi="Calibri"/>
          <w:color w:val="FF0000"/>
          <w:sz w:val="28"/>
          <w:szCs w:val="28"/>
        </w:rPr>
      </w:pPr>
    </w:p>
    <w:p w:rsidR="00A27DF6" w:rsidRDefault="00A27DF6" w:rsidP="00A27DF6">
      <w:pPr>
        <w:ind w:firstLine="709"/>
        <w:jc w:val="both"/>
        <w:rPr>
          <w:rFonts w:ascii="Times New Roman CYR" w:hAnsi="Times New Roman CYR"/>
          <w:color w:val="000000"/>
          <w:sz w:val="28"/>
          <w:szCs w:val="28"/>
        </w:rPr>
      </w:pPr>
      <w:r>
        <w:rPr>
          <w:sz w:val="28"/>
          <w:szCs w:val="28"/>
        </w:rPr>
        <w:t xml:space="preserve">Социально-экономическое развитие г. </w:t>
      </w:r>
      <w:proofErr w:type="spellStart"/>
      <w:r>
        <w:rPr>
          <w:sz w:val="28"/>
          <w:szCs w:val="28"/>
        </w:rPr>
        <w:t>Н.Новгорода</w:t>
      </w:r>
      <w:proofErr w:type="spellEnd"/>
      <w:r>
        <w:rPr>
          <w:sz w:val="28"/>
          <w:szCs w:val="28"/>
        </w:rPr>
        <w:t xml:space="preserve"> в</w:t>
      </w:r>
      <w:r>
        <w:rPr>
          <w:iCs/>
          <w:sz w:val="28"/>
          <w:szCs w:val="28"/>
        </w:rPr>
        <w:t xml:space="preserve"> 2022 году</w:t>
      </w:r>
      <w:r>
        <w:rPr>
          <w:sz w:val="28"/>
          <w:szCs w:val="28"/>
        </w:rPr>
        <w:t xml:space="preserve"> происходило в условиях </w:t>
      </w:r>
      <w:r>
        <w:rPr>
          <w:iCs/>
          <w:sz w:val="28"/>
          <w:szCs w:val="28"/>
        </w:rPr>
        <w:t>резкого изменения внешнеполитической обстановки, которое</w:t>
      </w:r>
      <w:r>
        <w:rPr>
          <w:sz w:val="28"/>
          <w:szCs w:val="28"/>
        </w:rPr>
        <w:t xml:space="preserve"> существенно повлияло на внешние и внутренние условия экономического развития.</w:t>
      </w:r>
    </w:p>
    <w:p w:rsidR="00A27DF6" w:rsidRDefault="00A27DF6" w:rsidP="00A27DF6">
      <w:pPr>
        <w:ind w:firstLine="709"/>
        <w:jc w:val="both"/>
        <w:rPr>
          <w:color w:val="548DD4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Введение санкций привело к разрыву и перестройке производственно-логистических цепочек, сокращению импорта (в </w:t>
      </w:r>
      <w:proofErr w:type="spellStart"/>
      <w:r>
        <w:rPr>
          <w:rFonts w:ascii="Times New Roman CYR" w:hAnsi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/>
          <w:sz w:val="28"/>
          <w:szCs w:val="28"/>
        </w:rPr>
        <w:t xml:space="preserve">. оборудования, комплектующих и материалов), </w:t>
      </w:r>
      <w:r>
        <w:rPr>
          <w:sz w:val="28"/>
          <w:szCs w:val="28"/>
        </w:rPr>
        <w:t>ужесточению кредитной политики банков и малодоступности кредитных ресурсов,</w:t>
      </w:r>
      <w:r>
        <w:rPr>
          <w:rFonts w:ascii="Times New Roman CYR" w:hAnsi="Times New Roman CYR"/>
          <w:sz w:val="28"/>
          <w:szCs w:val="28"/>
        </w:rPr>
        <w:t xml:space="preserve"> к простоям в работе предприятий, росту численности работников, находящихся в простое и в режиме неполного рабочего дня, к увеличению численности официально зарегистрированных безработных.</w:t>
      </w:r>
    </w:p>
    <w:p w:rsidR="00A27DF6" w:rsidRDefault="00A27DF6" w:rsidP="00A27DF6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Для снижения</w:t>
      </w:r>
      <w:r>
        <w:t xml:space="preserve"> </w:t>
      </w:r>
      <w:r>
        <w:rPr>
          <w:sz w:val="28"/>
          <w:szCs w:val="28"/>
        </w:rPr>
        <w:t>негативного воздействия санкций на субъекты экономической деятельности был разработан комплекс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мер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поддержки, в том числе на муниципальном уровне. 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2022 года объем отгруженной продукции, выполненных работ и услуг по полному кругу предприятий увеличился на 11,2% в действующих ценах (98,1% в сопоставимых ценах).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продукции, произведенной малыми предприятиями, в общем объеме отгруженной продукции всей экономики города по итогам 2022 года составила </w:t>
      </w:r>
      <w:r>
        <w:rPr>
          <w:sz w:val="28"/>
          <w:szCs w:val="28"/>
        </w:rPr>
        <w:lastRenderedPageBreak/>
        <w:t>29,1%. Малое предпринимательство охватывает практически все отрасли экономики города, но наибольшую долю малый бизнес традиционно занимает в таких ключевых видах деятельности, как «торговля оптовая и розничная, ремонт автотранспортных средств и мотоциклов» (85,4%) и «строительство» (76,8%).</w:t>
      </w:r>
    </w:p>
    <w:p w:rsidR="00A27DF6" w:rsidRDefault="00A27DF6" w:rsidP="00A27DF6">
      <w:pPr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Объем отгруженной продукции, выполненных работ и услуг по кругу крупных и средних предприятий увеличил</w:t>
      </w:r>
      <w:r w:rsidR="00E0792F">
        <w:rPr>
          <w:sz w:val="28"/>
          <w:szCs w:val="28"/>
        </w:rPr>
        <w:t>ся на 5,4% в действующих ценах,</w:t>
      </w:r>
      <w:r>
        <w:rPr>
          <w:sz w:val="28"/>
          <w:szCs w:val="28"/>
        </w:rPr>
        <w:t xml:space="preserve"> но в сопоставимых ценах сократился относительно предыдущего года (93%). На данный спад повлияло снижение объемов в </w:t>
      </w:r>
      <w:r>
        <w:rPr>
          <w:iCs/>
          <w:sz w:val="28"/>
          <w:szCs w:val="28"/>
        </w:rPr>
        <w:t>производстве автотранспортных средств, прицепов и полуприцепов (49,5%), в производстве прочих транспортных средств и оборудования (73,8%), в металлургическом производстве (72,1%).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значительный рост объемов производства в 2022 году был зафиксирован в «производстве готовых металлических изделий, кроме машин и оборудования» (в действующих ценах – 167,9%, в сопоставимых - 128%), «производстве компьютеров, электронных и оптических изделий» (в действующих ценах – 138,8%, в сопоставимых – 123,2%), «производстве бумаги и бумажных изделий (в действующих ценах – 144,8%, в сопоставимых – 128,8%), «производстве химических веществ и химических продуктов» (в действующих ценах – 132,5%, в сопоставимых – 108,9%), «производстве электрического оборудования» (в действующих ценах – 119,7%, в сопоставимых – 108,6%).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объем прибыли по крупным и средним предприятиям был сформирован в секторах: «торговля оптовая и розничная» (28,7%), «обрабатывающие производства» (24,8%), «деятельность профессиональная, научная и техническая» (19,1%), «обеспечение э</w:t>
      </w:r>
      <w:r w:rsidR="00E0792F">
        <w:rPr>
          <w:sz w:val="28"/>
          <w:szCs w:val="28"/>
        </w:rPr>
        <w:t xml:space="preserve">лектрической энергией, газом и </w:t>
      </w:r>
      <w:r>
        <w:rPr>
          <w:sz w:val="28"/>
          <w:szCs w:val="28"/>
        </w:rPr>
        <w:t>паром, кондиционирование воздуха» (11,5%).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ведущих секторов наиболее активная динамика сложилась в «торговле оптовой и розничной» (145,5%), «обеспечение электрической энергией, газом и паром, кондиционирование воздуха» (113,8%).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значительный рост был зафиксирован в следующих видах деятельности – «деятельность финансовая и страховая» (рост в 10 раз), «деятельность в области культуры, спорта, организации досуга и развлечений» (рост в 6,8 раза), «деятельность в области информации и связи» (рост в 2,2 раза), «операции с недвижимым имуществом, аренда и предоставление услуг» (рост в 2 раза), «транспорт</w:t>
      </w:r>
      <w:r w:rsidR="00E0792F">
        <w:rPr>
          <w:sz w:val="28"/>
          <w:szCs w:val="28"/>
        </w:rPr>
        <w:t xml:space="preserve">ировка и хранение» (рост в 1,9 </w:t>
      </w:r>
      <w:r>
        <w:rPr>
          <w:sz w:val="28"/>
          <w:szCs w:val="28"/>
        </w:rPr>
        <w:t>раза), «деятельность гостиниц и ресторанов» (рост в 1,7 раза).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Значительное уменьшение прибыли произошло в следующих секторах – «здравоохранение и предоставление социальных услуг» (60,3%), «водоснабжение; водоотведение, организация сбора и утилизации отходов, деятельность по ликвидации загрязнений» (63%), «деятельность профессиональная, научная и техническая» (87,1%).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2022 года крупными и средними организациями города был получен положительный сальдированный финансовый результат 190,6 млрд. руб. (за 2021 год – 154,4 млрд. руб.). Рост положительного сальдированного результата произошел за счет увеличения суммы прибыли на 16,9%, а также снижения суммы полученного организациями убытка на 24%.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объем инвестиций в основной капитал по полному кругу организаций вырос на 32,8% в сопоставимых ценах по сравнению с предыдущим годом. </w:t>
      </w:r>
      <w:r>
        <w:rPr>
          <w:sz w:val="28"/>
          <w:szCs w:val="28"/>
        </w:rPr>
        <w:lastRenderedPageBreak/>
        <w:t>Рост связан с началом реализации крупных инфраструктурных проектов – более 58% инвестиций осуществлены за счет бюджетных средств.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объем инвестиций крупными и средними организациями в 2022 году был сформирован в следующих видах экономической деятельности: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«государственное управление и обеспечение военной безопасности; социальное обеспечение» - 42,8%;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«обрабатывающая промышленность» - 10,5%;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«обеспечение электрической энергией, газом, паром, кондиционирование воздуха» - 8,3%;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«деятельность профессиональная, научная и техническая» - 7,6%.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активная положительная динамика инвестиций наблюдалась в секторе «государственное управление и обеспечение военной безопасности, социальное обеспечение» (рост в 9,2 раза). Также выросли объемы инвестиций в секторах «строительство» (+73,4%) и «обеспечение электрической энергией, газом, паром, кондиционирование воздуха» (+29%). Отрицательную динамику (-32,4%) показал сектор «обрабатывающая промышленность», формировавший ранее до половины объема инвестиций города.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Демографическая ситуация.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Естественная убыль населения в течение 2022 года снизилась на 42% (составив 7,5 тыс. чел.). К началу текущего года численность населения городского округа составила (с учетом подведения итогов Всероссийской переписи населения 2020 года) – 1 237 тыс. человек.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 течение 2022 года ситуация на рынке труда</w:t>
      </w:r>
      <w:r>
        <w:rPr>
          <w:sz w:val="28"/>
          <w:szCs w:val="28"/>
        </w:rPr>
        <w:t xml:space="preserve"> сохранила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положительную динамику</w:t>
      </w:r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Уровень официально зарегистрированной безработицы продолжал снижаться и к концу года составил 0,44%. Официально зарегистрированы в службе занятости на конец декабря 2022 года были 3,1 тыс. безработных.</w:t>
      </w:r>
      <w:r>
        <w:rPr>
          <w:iCs/>
          <w:color w:val="339966"/>
          <w:sz w:val="28"/>
          <w:szCs w:val="28"/>
        </w:rPr>
        <w:t xml:space="preserve"> </w:t>
      </w:r>
      <w:r>
        <w:rPr>
          <w:iCs/>
          <w:sz w:val="28"/>
          <w:szCs w:val="28"/>
        </w:rPr>
        <w:t>Коэффициент напряженности на рынке труда составил 0,14%.</w:t>
      </w:r>
    </w:p>
    <w:p w:rsidR="00A27DF6" w:rsidRDefault="00A27DF6" w:rsidP="00A27DF6">
      <w:pPr>
        <w:ind w:firstLine="709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val="x-none" w:eastAsia="x-none"/>
        </w:rPr>
        <w:t xml:space="preserve">Размер среднемесячной заработной платы по полному кругу организаций в 2022 году составил 55,7 тыс. рублей. В реальном выражении заработная плата увеличилась на 0,3%.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Емкость потребительского рынка (сумма оборота розничной торговли, общественного питания и платных услуг по крупным и средним организациям) за 2022 год составила 407,4 </w:t>
      </w:r>
      <w:proofErr w:type="spellStart"/>
      <w:r>
        <w:rPr>
          <w:sz w:val="28"/>
          <w:szCs w:val="28"/>
        </w:rPr>
        <w:t>млрд.руб</w:t>
      </w:r>
      <w:proofErr w:type="spellEnd"/>
      <w:r>
        <w:rPr>
          <w:sz w:val="28"/>
          <w:szCs w:val="28"/>
        </w:rPr>
        <w:t>.</w:t>
      </w:r>
    </w:p>
    <w:p w:rsidR="00A27DF6" w:rsidRDefault="00A27DF6" w:rsidP="00A27DF6">
      <w:pPr>
        <w:ind w:left="28" w:right="28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Оборот розничной торговли (по крупным и средним организациям) по итогам года составил 288,2 млрд. руб., оборот общественного питания (по крупным и средним организациям) – 6,4 млрд. рублей. При этом их уровень в сопоставимой оценке снизился к предыдущему году на 8,2% и 16,9% соответственно. Объем платных услуг населению (по крупным и средним организациям) составил 112,8 млрд. руб., рост в сопоставимых ценах - 2,8%.</w:t>
      </w:r>
    </w:p>
    <w:p w:rsidR="00A27DF6" w:rsidRDefault="00A27DF6" w:rsidP="00A27DF6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Социально-экономическое развитие в текущем 2023 году происходит в условиях сохранения международных санкций в отношении российской экономики. Тем не менее, по основным показателям наблюдается положительная динамика, которая обеспечивается развитием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>, переориентацией экспорта и выстраиванием новых производственных, логистических и торговых цепочек как внутри страны, так и с другими странами.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Ожидается, что к</w:t>
      </w:r>
      <w:r>
        <w:rPr>
          <w:sz w:val="28"/>
        </w:rPr>
        <w:t xml:space="preserve"> концу 2023 года объем продукции, отгруженной крупными, средними и малыми предприятиями, т.е. в целом по экономике, </w:t>
      </w:r>
      <w:r>
        <w:rPr>
          <w:sz w:val="28"/>
          <w:szCs w:val="28"/>
        </w:rPr>
        <w:t xml:space="preserve">увеличится относительно 2022 года в сопоставимых ценах на </w:t>
      </w:r>
      <w:r>
        <w:rPr>
          <w:sz w:val="28"/>
        </w:rPr>
        <w:t xml:space="preserve">8,2% и составит </w:t>
      </w:r>
      <w:r>
        <w:rPr>
          <w:bCs/>
          <w:sz w:val="28"/>
          <w:szCs w:val="28"/>
        </w:rPr>
        <w:t xml:space="preserve">1 760,2 </w:t>
      </w:r>
      <w:r>
        <w:rPr>
          <w:sz w:val="28"/>
        </w:rPr>
        <w:t>млрд. руб.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фоне «высокой базы» прошлого года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сохранится незначительный рост инвестиций в основной капитал на 1,7% к предыдущему году в сопоставимых ценах.</w:t>
      </w:r>
    </w:p>
    <w:p w:rsidR="00A27DF6" w:rsidRDefault="00A27DF6" w:rsidP="00A27DF6">
      <w:pPr>
        <w:ind w:firstLine="709"/>
        <w:jc w:val="both"/>
        <w:rPr>
          <w:sz w:val="28"/>
          <w:szCs w:val="24"/>
        </w:rPr>
      </w:pPr>
      <w:r>
        <w:rPr>
          <w:sz w:val="28"/>
        </w:rPr>
        <w:t>Прибыль прибыльных организаций возрастет на 7,1% в действующих ценах.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позитивных тенденций текущего года является восстановление потребительского рынка. По оценке объемы розничного товарооборота, платных услуг в 2023 году будут выше уровня прошлого года в сопоставимых ценах на 1% и 1,1% соответственно. Положительная динамика данных показателей поддерживается сохраняющимся ростом реальной заработной платы. По итогам текущего года ее уровень оценивается как 106,6%. </w:t>
      </w:r>
    </w:p>
    <w:p w:rsidR="00A27DF6" w:rsidRDefault="00A27DF6" w:rsidP="00A27DF6">
      <w:pPr>
        <w:ind w:firstLine="709"/>
        <w:jc w:val="both"/>
        <w:rPr>
          <w:color w:val="FF0000"/>
          <w:sz w:val="28"/>
          <w:szCs w:val="28"/>
        </w:rPr>
      </w:pPr>
    </w:p>
    <w:p w:rsidR="00A27DF6" w:rsidRDefault="00A27DF6" w:rsidP="00E0792F">
      <w:pPr>
        <w:jc w:val="center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Cs/>
          <w:sz w:val="28"/>
          <w:szCs w:val="28"/>
        </w:rPr>
        <w:t xml:space="preserve">Определение вариантов социально-экономического развития </w:t>
      </w:r>
    </w:p>
    <w:p w:rsidR="00A27DF6" w:rsidRDefault="00A27DF6" w:rsidP="00E0792F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города Нижнего Новгорода на долгосрочный период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</w:p>
    <w:p w:rsidR="00A27DF6" w:rsidRDefault="00A27DF6" w:rsidP="00A27DF6">
      <w:pPr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Долгосрочный прогноз города Нижнего Новгорода разработан на основе текущих внутренних и внешних тенденций в двух вариантах – базовом и целевом</w:t>
      </w:r>
      <w:r>
        <w:rPr>
          <w:color w:val="FF0000"/>
          <w:sz w:val="28"/>
          <w:szCs w:val="28"/>
        </w:rPr>
        <w:t xml:space="preserve">. </w:t>
      </w:r>
    </w:p>
    <w:p w:rsidR="00A27DF6" w:rsidRPr="00E0792F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Базовый вариант прогноза характеризуется умеренными темпами роста экономики в условиях сохранения в среднесрочном периоде неблагоприятного влияния внешних факторов с учетом реализации мер внутренней экономической политики, направленных на адаптацию и структурные изменения экономики в новых условиях, а также реализации национальных проектов, охватывающих приоритетные направления социально-экономического развития и направленных на достижение национальных целей развития, предусмотренных указом Президента РФ от </w:t>
      </w:r>
      <w:hyperlink r:id="rId31" w:history="1">
        <w:r w:rsidRPr="00E0792F">
          <w:rPr>
            <w:rStyle w:val="affff"/>
            <w:b w:val="0"/>
            <w:bCs/>
            <w:color w:val="auto"/>
            <w:sz w:val="28"/>
            <w:szCs w:val="28"/>
            <w:u w:val="none"/>
          </w:rPr>
          <w:t>21.07.2020  №</w:t>
        </w:r>
        <w:r w:rsidR="00E0792F">
          <w:rPr>
            <w:rStyle w:val="affff"/>
            <w:b w:val="0"/>
            <w:bCs/>
            <w:color w:val="auto"/>
            <w:sz w:val="28"/>
            <w:szCs w:val="28"/>
            <w:u w:val="none"/>
          </w:rPr>
          <w:t xml:space="preserve"> </w:t>
        </w:r>
        <w:r w:rsidRPr="00E0792F">
          <w:rPr>
            <w:rStyle w:val="affff"/>
            <w:b w:val="0"/>
            <w:bCs/>
            <w:color w:val="auto"/>
            <w:sz w:val="28"/>
            <w:szCs w:val="28"/>
            <w:u w:val="none"/>
          </w:rPr>
          <w:t>474 «О национальных целях развития Российской Федерации на период до 2030 года</w:t>
        </w:r>
      </w:hyperlink>
      <w:r w:rsidRPr="00E0792F">
        <w:t>».</w:t>
      </w:r>
      <w:r w:rsidRPr="00E0792F">
        <w:rPr>
          <w:sz w:val="28"/>
          <w:szCs w:val="28"/>
        </w:rPr>
        <w:t xml:space="preserve">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Предполагается выход экономики на траекторию устойчивого роста за счет ускоренной модернизации, развития инноваций, увеличения производства высокотехнологичной и наукоемкой продукции.</w:t>
      </w:r>
      <w:r>
        <w:rPr>
          <w:color w:val="943634"/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2023 - 2032 гг. среднегодовые темпы роста объемов отгруженной предприятиями города продукции, выполненных работ и услуг согласно данному </w:t>
      </w:r>
      <w:proofErr w:type="gramStart"/>
      <w:r>
        <w:rPr>
          <w:sz w:val="28"/>
          <w:szCs w:val="28"/>
        </w:rPr>
        <w:t>варианту</w:t>
      </w:r>
      <w:proofErr w:type="gramEnd"/>
      <w:r>
        <w:rPr>
          <w:sz w:val="28"/>
          <w:szCs w:val="28"/>
        </w:rPr>
        <w:t xml:space="preserve"> прогнозируются в пределах 102,5 - 108,2%, инвестиций в основной капитал – 101,7-106,5%.</w:t>
      </w:r>
    </w:p>
    <w:p w:rsidR="00A27DF6" w:rsidRDefault="00A27DF6" w:rsidP="00A27DF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Целевой вариант ориентирован на решение задач ускоренного развития на основе более эффективной реализации структурных мер экономической политики и, соответственно, предполагает более высокую динамику экономического роста по ключевым показателям</w:t>
      </w:r>
      <w:r>
        <w:rPr>
          <w:rFonts w:ascii="Calibri" w:hAnsi="Calibri"/>
          <w:sz w:val="28"/>
          <w:szCs w:val="28"/>
        </w:rPr>
        <w:t xml:space="preserve">. </w:t>
      </w:r>
      <w:r>
        <w:rPr>
          <w:sz w:val="28"/>
          <w:szCs w:val="28"/>
        </w:rPr>
        <w:t>Среднегодовые темпы роста объемов отгруженной предприятиями города продукции, выполненных работ и услуг в данном варианте прогнозируются в пределах 105 – 110,4%, инвестиций в основной капитал – 101,7-117,8%.</w:t>
      </w:r>
    </w:p>
    <w:p w:rsidR="00A27DF6" w:rsidRDefault="00A27DF6" w:rsidP="00A27DF6">
      <w:pPr>
        <w:suppressAutoHyphens/>
        <w:ind w:firstLine="709"/>
        <w:jc w:val="both"/>
        <w:rPr>
          <w:rFonts w:ascii="Calibri" w:hAnsi="Calibri"/>
          <w:color w:val="FF0000"/>
          <w:sz w:val="28"/>
          <w:szCs w:val="28"/>
        </w:rPr>
      </w:pPr>
    </w:p>
    <w:p w:rsidR="00E0792F" w:rsidRDefault="00A27DF6" w:rsidP="00E0792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 xml:space="preserve">Оценка факторов и ограничений экономического роста города </w:t>
      </w:r>
    </w:p>
    <w:p w:rsidR="00A27DF6" w:rsidRDefault="00A27DF6" w:rsidP="00E0792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Нижнего Новгорода на долгосрочный период</w:t>
      </w:r>
    </w:p>
    <w:p w:rsidR="00A27DF6" w:rsidRDefault="00A27DF6" w:rsidP="00A27DF6">
      <w:pPr>
        <w:autoSpaceDE w:val="0"/>
        <w:autoSpaceDN w:val="0"/>
        <w:adjustRightInd w:val="0"/>
        <w:ind w:firstLine="709"/>
        <w:jc w:val="both"/>
        <w:rPr>
          <w:bCs/>
          <w:color w:val="FF0000"/>
          <w:sz w:val="28"/>
          <w:szCs w:val="28"/>
        </w:rPr>
      </w:pPr>
    </w:p>
    <w:p w:rsidR="00A27DF6" w:rsidRDefault="00A27DF6" w:rsidP="00A27DF6">
      <w:pPr>
        <w:pStyle w:val="af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Факторы экономического роста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сохранения напряженной геополитической обстановки и усиления </w:t>
      </w:r>
      <w:proofErr w:type="spellStart"/>
      <w:r>
        <w:rPr>
          <w:sz w:val="28"/>
          <w:szCs w:val="28"/>
        </w:rPr>
        <w:t>санкционного</w:t>
      </w:r>
      <w:proofErr w:type="spellEnd"/>
      <w:r>
        <w:rPr>
          <w:sz w:val="28"/>
          <w:szCs w:val="28"/>
        </w:rPr>
        <w:t xml:space="preserve"> давления общегосударственные меры по повышению экономического роста в прогнозном периоде будут направлены на: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переориентацию российского экспорта, повышение доли </w:t>
      </w:r>
      <w:proofErr w:type="spellStart"/>
      <w:r>
        <w:rPr>
          <w:sz w:val="28"/>
          <w:szCs w:val="28"/>
        </w:rPr>
        <w:t>ненефтегазового</w:t>
      </w:r>
      <w:proofErr w:type="spellEnd"/>
      <w:r>
        <w:rPr>
          <w:sz w:val="28"/>
          <w:szCs w:val="28"/>
        </w:rPr>
        <w:t xml:space="preserve"> экспорта;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импортозамещение</w:t>
      </w:r>
      <w:proofErr w:type="spellEnd"/>
      <w:r>
        <w:rPr>
          <w:sz w:val="28"/>
          <w:szCs w:val="28"/>
        </w:rPr>
        <w:t xml:space="preserve"> и локализацию производства в целях обеспечения независимости от импортных материалов и комплектующих;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научно-технологического суверенитета и развитие </w:t>
      </w:r>
      <w:proofErr w:type="spellStart"/>
      <w:r>
        <w:rPr>
          <w:sz w:val="28"/>
          <w:szCs w:val="28"/>
        </w:rPr>
        <w:t>цифровизации</w:t>
      </w:r>
      <w:proofErr w:type="spellEnd"/>
      <w:r>
        <w:rPr>
          <w:sz w:val="28"/>
          <w:szCs w:val="28"/>
        </w:rPr>
        <w:t>;</w:t>
      </w:r>
    </w:p>
    <w:p w:rsidR="00A27DF6" w:rsidRDefault="00A27DF6" w:rsidP="00A27DF6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стимулирование предпринимательской деятельности и инвестиционной активности;</w:t>
      </w:r>
      <w:r>
        <w:rPr>
          <w:sz w:val="28"/>
          <w:szCs w:val="28"/>
          <w:highlight w:val="yellow"/>
        </w:rPr>
        <w:t xml:space="preserve"> 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финансовой системы.</w:t>
      </w:r>
    </w:p>
    <w:p w:rsidR="00A27DF6" w:rsidRDefault="00A27DF6" w:rsidP="00A27DF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результате структурных сдвигов среди компонентов спроса ключевым драйвером экономического роста станет потребительский спрос с учетом восстановления позитивной динамики реальных доходов населения и расширения потребительского кредитования.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устойчивости экономического развития будет продолжена реализация Плана первоочередных действий по обеспечению развития российской экономики в условиях внешнего </w:t>
      </w:r>
      <w:proofErr w:type="spellStart"/>
      <w:r>
        <w:rPr>
          <w:sz w:val="28"/>
          <w:szCs w:val="28"/>
        </w:rPr>
        <w:t>санкционного</w:t>
      </w:r>
      <w:proofErr w:type="spellEnd"/>
      <w:r>
        <w:rPr>
          <w:sz w:val="28"/>
          <w:szCs w:val="28"/>
        </w:rPr>
        <w:t xml:space="preserve"> давления, разработанного Правительством Российской Федерации. Планом предусмотрена реализация мероприятий, направленных на: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бесперебойной работы предприятий, выстраивание новых логистических цепочек, поиск новых поставщиков и рынков сбыта произведенной продукции, обеспечение оборотными средствами (за счет поддержки системообразующих предприятий, расширения программ льготного кредитования, программ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 xml:space="preserve"> и т.д.);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максимальной свободы хозяйственной деятельности (за счет сокращения избыточных процедур, контрольно-надзорной деятельности, расширения мер налогового стимулирования и т.д.);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«зеленого коридора» для импорта (за счет обнуления ввозных таможенных пошлин, снятия регуляторных ограничений и т.д.);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отраслевые меры поддержки развития производства и стимулирования инноваций в промышленности, транспорте, информационных технологиях, строительстве и прочих секторах;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занятости (за счет предотвращения закрытия производств, реализации программ переобучения и пр.).</w:t>
      </w:r>
    </w:p>
    <w:p w:rsidR="00A27DF6" w:rsidRDefault="00A27DF6" w:rsidP="00A27DF6">
      <w:pPr>
        <w:widowControl w:val="0"/>
        <w:autoSpaceDE w:val="0"/>
        <w:autoSpaceDN w:val="0"/>
        <w:adjustRightInd w:val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 xml:space="preserve">Диверсификация производства позволит обеспечить запас устойчивости экономике Нижнего Новгорода при воздействии неблагоприятных внешних факторов и создаст основу для позитивной динамики экономического развития в долгосрочной перспективе. </w:t>
      </w:r>
    </w:p>
    <w:p w:rsidR="00A27DF6" w:rsidRDefault="00A27DF6" w:rsidP="00A27DF6">
      <w:pPr>
        <w:pStyle w:val="1"/>
        <w:ind w:firstLine="709"/>
      </w:pPr>
      <w:r>
        <w:rPr>
          <w:szCs w:val="28"/>
        </w:rPr>
        <w:t xml:space="preserve">Наличие на территории города предприятий, выпускающих наукоемкую и высокотехнологичную продукцию, научных организаций, а также развитой сети образовательных учреждений и квалифицированных кадров наряду с реализуемыми в регионе мерами поддержки, направленными на  разработку и внедрение на предприятиях перспективных технологий, производство новой конкурентоспособной и высокотехнологичной продукции, стимулирование </w:t>
      </w:r>
      <w:proofErr w:type="spellStart"/>
      <w:r>
        <w:rPr>
          <w:szCs w:val="28"/>
        </w:rPr>
        <w:t>импортозамещения</w:t>
      </w:r>
      <w:proofErr w:type="spellEnd"/>
      <w:r>
        <w:rPr>
          <w:szCs w:val="28"/>
        </w:rPr>
        <w:t xml:space="preserve"> (в том числе в рамках </w:t>
      </w:r>
      <w:r>
        <w:t xml:space="preserve">Плана первоочередных действий по обеспечению устойчивого развития Нижегородской области в условиях внешнего </w:t>
      </w:r>
      <w:proofErr w:type="spellStart"/>
      <w:r>
        <w:t>санкционного</w:t>
      </w:r>
      <w:proofErr w:type="spellEnd"/>
      <w:r>
        <w:t xml:space="preserve"> давления, утв. распоряжением Правительства Нижегородской области от 23.03.2022 №243-</w:t>
      </w:r>
      <w:r>
        <w:lastRenderedPageBreak/>
        <w:t xml:space="preserve">р), </w:t>
      </w:r>
      <w:r>
        <w:rPr>
          <w:szCs w:val="28"/>
        </w:rPr>
        <w:t>создает благоприятные предпосылки для обеспечения ускоренного технологического развития и предопределяет позитивные тенденции развития экономики города в долгосрочной перспективе.</w:t>
      </w:r>
    </w:p>
    <w:p w:rsidR="00A27DF6" w:rsidRDefault="00A27DF6" w:rsidP="00A27D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Дополнительным драйвером социально-экономического</w:t>
      </w:r>
      <w:r w:rsidR="00E0792F">
        <w:rPr>
          <w:sz w:val="28"/>
          <w:szCs w:val="28"/>
        </w:rPr>
        <w:t xml:space="preserve"> развития в прогнозном периоде </w:t>
      </w:r>
      <w:r>
        <w:rPr>
          <w:sz w:val="28"/>
          <w:szCs w:val="28"/>
        </w:rPr>
        <w:t xml:space="preserve">может стать реализация на территории города крупных проектов с привлечением из федерального бюджета инфраструктурных бюджетных кредитов – продление Автозаводской и </w:t>
      </w:r>
      <w:proofErr w:type="spellStart"/>
      <w:r>
        <w:rPr>
          <w:sz w:val="28"/>
          <w:szCs w:val="28"/>
        </w:rPr>
        <w:t>Сормовско</w:t>
      </w:r>
      <w:proofErr w:type="spellEnd"/>
      <w:r>
        <w:rPr>
          <w:sz w:val="28"/>
          <w:szCs w:val="28"/>
        </w:rPr>
        <w:t xml:space="preserve">-Мещерской линий метро, проекта </w:t>
      </w:r>
      <w:proofErr w:type="spellStart"/>
      <w:r>
        <w:rPr>
          <w:sz w:val="28"/>
          <w:szCs w:val="28"/>
        </w:rPr>
        <w:t>редевелопмента</w:t>
      </w:r>
      <w:proofErr w:type="spellEnd"/>
      <w:r>
        <w:rPr>
          <w:sz w:val="28"/>
          <w:szCs w:val="28"/>
        </w:rPr>
        <w:t xml:space="preserve"> исторического центра (</w:t>
      </w:r>
      <w:proofErr w:type="spellStart"/>
      <w:r>
        <w:rPr>
          <w:sz w:val="28"/>
          <w:szCs w:val="28"/>
        </w:rPr>
        <w:t>Започаинья</w:t>
      </w:r>
      <w:proofErr w:type="spellEnd"/>
      <w:r>
        <w:rPr>
          <w:sz w:val="28"/>
          <w:szCs w:val="28"/>
        </w:rPr>
        <w:t>) с созданием ИТ-кампуса, комплексного развития южных территорий города со снятием инфраструктурных ограничений в целях развития жилищного строительства.</w:t>
      </w:r>
    </w:p>
    <w:p w:rsidR="00A27DF6" w:rsidRDefault="00A27DF6" w:rsidP="00A27DF6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 Ограничения экономического роста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прогнозном периоде сохранится негативное влияние на динамику экономического развития как России в целом, так и отдельных ее территорий внешнеэкономических и внешнеполитических факторов.</w:t>
      </w:r>
      <w:r>
        <w:rPr>
          <w:bCs/>
          <w:sz w:val="28"/>
          <w:szCs w:val="28"/>
        </w:rPr>
        <w:t xml:space="preserve"> 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Дополнительным дестабилизирующим фактором может стать существенное замедление мирового экономического роста. Ухудшение ситуации на товарных рынках и замедление переориентации экспорта в нейтральные страны в совокупности с ужесточением </w:t>
      </w:r>
      <w:proofErr w:type="spellStart"/>
      <w:r>
        <w:rPr>
          <w:bCs/>
          <w:sz w:val="28"/>
          <w:szCs w:val="28"/>
        </w:rPr>
        <w:t>санкционного</w:t>
      </w:r>
      <w:proofErr w:type="spellEnd"/>
      <w:r>
        <w:rPr>
          <w:bCs/>
          <w:sz w:val="28"/>
          <w:szCs w:val="28"/>
        </w:rPr>
        <w:t xml:space="preserve"> режима к российской экономике может повысить вероятность неустойчивой динамики экономического развития в долгосрочном периоде.</w:t>
      </w:r>
    </w:p>
    <w:p w:rsidR="00A27DF6" w:rsidRDefault="00A27DF6" w:rsidP="00A27DF6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высоких внешних рисков наряду с недостаточной эффективностью мер по обеспечению устойчивости экономики и ее структурной перестройки может негативно сказаться на инвестиционной активности субъектов экономической деятельности и повысить вероятность стагнации потребительского спроса вследствие слабого роста реальных доходов населения. Отсутствие поступательной динамики экономического роста в конечном итоге может привести к снижению бюджетной устойчивости.</w:t>
      </w:r>
    </w:p>
    <w:p w:rsidR="00A27DF6" w:rsidRDefault="00A27DF6" w:rsidP="00A27DF6">
      <w:pPr>
        <w:rPr>
          <w:sz w:val="28"/>
          <w:szCs w:val="28"/>
        </w:rPr>
        <w:sectPr w:rsidR="00A27DF6" w:rsidSect="00D83554">
          <w:type w:val="continuous"/>
          <w:pgSz w:w="11907" w:h="16834"/>
          <w:pgMar w:top="993" w:right="851" w:bottom="567" w:left="1134" w:header="289" w:footer="289" w:gutter="0"/>
          <w:cols w:space="720"/>
        </w:sectPr>
      </w:pPr>
    </w:p>
    <w:p w:rsidR="00A27DF6" w:rsidRDefault="00A27DF6" w:rsidP="00A27DF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 Основные параметры прогноза социально-экономического развития города Нижнего Новгорода</w:t>
      </w:r>
    </w:p>
    <w:p w:rsidR="00A27DF6" w:rsidRDefault="00A27DF6" w:rsidP="00A27DF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 долгосрочный период</w:t>
      </w:r>
    </w:p>
    <w:p w:rsidR="00A27DF6" w:rsidRDefault="00A27DF6" w:rsidP="00A27DF6">
      <w:pPr>
        <w:autoSpaceDE w:val="0"/>
        <w:autoSpaceDN w:val="0"/>
        <w:adjustRightInd w:val="0"/>
        <w:ind w:firstLine="540"/>
        <w:jc w:val="center"/>
        <w:rPr>
          <w:bCs/>
          <w:sz w:val="28"/>
          <w:szCs w:val="28"/>
        </w:rPr>
      </w:pPr>
    </w:p>
    <w:tbl>
      <w:tblPr>
        <w:tblW w:w="157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5"/>
        <w:gridCol w:w="2844"/>
        <w:gridCol w:w="902"/>
        <w:gridCol w:w="958"/>
        <w:gridCol w:w="958"/>
        <w:gridCol w:w="959"/>
        <w:gridCol w:w="959"/>
        <w:gridCol w:w="959"/>
        <w:gridCol w:w="959"/>
        <w:gridCol w:w="959"/>
        <w:gridCol w:w="958"/>
        <w:gridCol w:w="959"/>
        <w:gridCol w:w="958"/>
        <w:gridCol w:w="959"/>
        <w:gridCol w:w="959"/>
      </w:tblGrid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№</w:t>
            </w:r>
          </w:p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п/п</w:t>
            </w:r>
          </w:p>
        </w:tc>
        <w:tc>
          <w:tcPr>
            <w:tcW w:w="28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Наименование прогнозного показателя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Сценарии</w:t>
            </w:r>
          </w:p>
        </w:tc>
        <w:tc>
          <w:tcPr>
            <w:tcW w:w="9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2021 год</w:t>
            </w:r>
          </w:p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(факт)</w:t>
            </w:r>
          </w:p>
        </w:tc>
        <w:tc>
          <w:tcPr>
            <w:tcW w:w="9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2022 год</w:t>
            </w:r>
          </w:p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(факт)</w:t>
            </w:r>
          </w:p>
        </w:tc>
        <w:tc>
          <w:tcPr>
            <w:tcW w:w="9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2023 год (оценка)</w:t>
            </w:r>
          </w:p>
        </w:tc>
        <w:tc>
          <w:tcPr>
            <w:tcW w:w="8629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Прогноз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2024 год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2025 год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2026 год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2027 год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2028 год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2029 год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2030 год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2032 год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отгруженной продукции собственного производства, выполненных работ и услуг собственными силами (по полному кругу предприятий), млн. руб.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1 390 751,4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1 545 952,8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1 760 196,7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1 893 020,9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2 028 582,9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2 167 206,8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2 321 511,9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2 496 461,1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2 674 209,1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2 867 394,0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3 074 534,5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3 296 638,9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113,4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98,1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отгруженной продукции собственного производства, выполненных работ и услуг собственными силами (по полному кругу предприятий), млн. руб.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1 935 072,2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2 133 183,0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2 402 552,8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2 718 418,8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3 089 934,3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3 528 275,4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4 047 129,5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4 579 209,7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5 152 696,2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108,3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розничного товарооборота (по крупным и средним организациям),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272 392,4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288 196,9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301 848,8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331 203,6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356 507,5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384 115,5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411 468,0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440 768,2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472 154,9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505 776,5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541 792,4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580 372,9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112,1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91,8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розничного товарооборота (по крупным и средним организациям), млн. руб.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331 838,1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361 677,0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393 819,9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428 406,8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466 031,2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506 959,9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551 483,1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601 061,4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655 096,9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Оборот общественного питания (по крупным и средним организациям) 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6 885,6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6 358,2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7 740,0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8 517,1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9 212,1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9 963,8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10 828,7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11 768,6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12 790,1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13 900,3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15 106,8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16 418,1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121,9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83,1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115,7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Оборот общественного питания (по крупным и средним организациям),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8 598,3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9 389,3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10 243,3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11 174,9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12 191,3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13 300,1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14 509,7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15 829,4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17 269,1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платных услуг населению (по крупным и средним организациям),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101 228,6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112 798,7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124 412,2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133 779,0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142 608,4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152 168,9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163 161,6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174 948,4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187 586,6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201 137,9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215 668,1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231 248,0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106,0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102,8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платных услуг населению (по крупным и средним организациям),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134 561,1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145 401,4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157 870,3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171 408,4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186 107,6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202 067,2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219 815,4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239 350,8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260 871,1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104,9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Фонд заработной платы, всего,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339 800,0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382 352,8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429 541,3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469 563,3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502 432,7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535 593,3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573 620,4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614 347,5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657 966,1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704 681,7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754 714,1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808 298,8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действующих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111,0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Фонд заработной платы, всего, </w:t>
            </w:r>
            <w:proofErr w:type="spellStart"/>
            <w:r>
              <w:rPr>
                <w:sz w:val="16"/>
                <w:szCs w:val="16"/>
              </w:rPr>
              <w:t>млн.руб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473 784,1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517 846,0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565 487,8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617 512,7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674 323,8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736 361,6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804 106,9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878 084,7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958 868,5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действующих ценах,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6.</w:t>
            </w: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Реальная заработная плата, %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103,5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100,3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102,5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2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Численность работников по территории, формирующих фонд оплаты труда, </w:t>
            </w:r>
            <w:proofErr w:type="spellStart"/>
            <w:r>
              <w:rPr>
                <w:sz w:val="16"/>
                <w:szCs w:val="16"/>
              </w:rPr>
              <w:t>тыс.чел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577,6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572,2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573,5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574,1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577,2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578,3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578,9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инвестиций в основной капитал за счет всех источников финансирования (по полному кругу),  млн. руб.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109 480,9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161 767,8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172 435,3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186 710,9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202 372,7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219 981,8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242 507,9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268 601,8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297 224,0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325 186,8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355 104,0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384 819,12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90,9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132,8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101,7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105,0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104,2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инвестиций в основной капитал за счет всех источников финансирования (по полному кругу),  млн. руб.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192 819,9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214 369,5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243 889,2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277 727,4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316 837,5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363 101,2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417 629,2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501 607,7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613 938,7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 в сопоставимых ценах, %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110,3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110,7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115,6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117,8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Прибыль прибыльных организаций (по крупным и средним организациям),  млн. руб.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178 915,1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209 218,2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right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223 971,7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237 414,1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251 563,3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266 810,8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283 353,1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301 204,3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321 083,8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342 275,3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366 234,6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391 871,0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роста, %</w:t>
            </w: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122,0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116,9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106,3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106,6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106,6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Прибыль прибыльных организаций (по крупным и средним организациям),  млн. руб.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243 233,3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265 610,8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292 703,1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327 534,7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368 476,6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417 852,4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476 769,6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539 226,4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606 090,5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Темп роста, %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108,6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111,9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113,4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112,4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</w:t>
            </w:r>
          </w:p>
        </w:tc>
        <w:tc>
          <w:tcPr>
            <w:tcW w:w="28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Сводный индекс потребительских цен в среднегодовом исчислении,%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Базовый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106,7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113,3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BE69B2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105-106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BE69B2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107,2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</w:t>
            </w:r>
            <w:r w:rsidR="00BE69B2">
              <w:rPr>
                <w:sz w:val="22"/>
                <w:szCs w:val="16"/>
                <w:vertAlign w:val="superscript"/>
              </w:rPr>
              <w:t>4,2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</w:tr>
      <w:tr w:rsidR="00A27DF6" w:rsidTr="00E0792F">
        <w:trPr>
          <w:trHeight w:val="2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28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Целевой</w:t>
            </w: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F6" w:rsidRDefault="00A27DF6">
            <w:pPr>
              <w:rPr>
                <w:rFonts w:eastAsia="Calibri"/>
                <w:color w:val="000000"/>
                <w:sz w:val="22"/>
                <w:szCs w:val="16"/>
                <w:vertAlign w:val="superscript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7DF6" w:rsidRDefault="00A27DF6">
            <w:pPr>
              <w:jc w:val="center"/>
              <w:rPr>
                <w:sz w:val="22"/>
                <w:szCs w:val="16"/>
                <w:vertAlign w:val="superscript"/>
              </w:rPr>
            </w:pPr>
            <w:r>
              <w:rPr>
                <w:sz w:val="22"/>
                <w:szCs w:val="16"/>
                <w:vertAlign w:val="superscript"/>
              </w:rPr>
              <w:t>103,9</w:t>
            </w:r>
          </w:p>
        </w:tc>
      </w:tr>
    </w:tbl>
    <w:p w:rsidR="00A27DF6" w:rsidRDefault="00A27DF6" w:rsidP="00A27DF6">
      <w:pPr>
        <w:autoSpaceDE w:val="0"/>
        <w:autoSpaceDN w:val="0"/>
        <w:adjustRightInd w:val="0"/>
        <w:ind w:firstLine="540"/>
        <w:jc w:val="center"/>
        <w:rPr>
          <w:rFonts w:eastAsia="Calibri"/>
          <w:bCs/>
          <w:color w:val="000000"/>
          <w:sz w:val="28"/>
          <w:szCs w:val="28"/>
        </w:rPr>
      </w:pPr>
    </w:p>
    <w:p w:rsidR="00A27DF6" w:rsidRDefault="00A27DF6" w:rsidP="00A27DF6">
      <w:pPr>
        <w:rPr>
          <w:sz w:val="28"/>
          <w:szCs w:val="28"/>
        </w:rPr>
        <w:sectPr w:rsidR="00A27DF6" w:rsidSect="00E0792F">
          <w:type w:val="continuous"/>
          <w:pgSz w:w="16834" w:h="11907" w:orient="landscape"/>
          <w:pgMar w:top="1134" w:right="1134" w:bottom="709" w:left="567" w:header="289" w:footer="289" w:gutter="0"/>
          <w:cols w:space="720"/>
        </w:sectPr>
      </w:pPr>
    </w:p>
    <w:p w:rsidR="00510562" w:rsidRPr="007179D0" w:rsidRDefault="00510562" w:rsidP="008F6D18">
      <w:pPr>
        <w:pStyle w:val="af7"/>
        <w:suppressAutoHyphens/>
        <w:ind w:left="0"/>
        <w:jc w:val="center"/>
        <w:rPr>
          <w:sz w:val="28"/>
          <w:szCs w:val="28"/>
        </w:rPr>
      </w:pPr>
    </w:p>
    <w:sectPr w:rsidR="00510562" w:rsidRPr="007179D0" w:rsidSect="008F6D18">
      <w:headerReference w:type="default" r:id="rId32"/>
      <w:footerReference w:type="default" r:id="rId33"/>
      <w:type w:val="continuous"/>
      <w:pgSz w:w="16834" w:h="11907" w:orient="landscape" w:code="9"/>
      <w:pgMar w:top="1134" w:right="1134" w:bottom="851" w:left="1134" w:header="289" w:footer="28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B9B" w:rsidRDefault="00DF5B9B" w:rsidP="009705F0">
      <w:r>
        <w:separator/>
      </w:r>
    </w:p>
  </w:endnote>
  <w:endnote w:type="continuationSeparator" w:id="0">
    <w:p w:rsidR="00DF5B9B" w:rsidRDefault="00DF5B9B" w:rsidP="0097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ltic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, serif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+mn-ea"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B9B" w:rsidRDefault="00DF5B9B">
    <w:pPr>
      <w:pStyle w:val="af1"/>
      <w:jc w:val="right"/>
    </w:pPr>
  </w:p>
  <w:p w:rsidR="00DF5B9B" w:rsidRDefault="00DF5B9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B9B" w:rsidRDefault="00DF5B9B" w:rsidP="009705F0">
      <w:r>
        <w:separator/>
      </w:r>
    </w:p>
  </w:footnote>
  <w:footnote w:type="continuationSeparator" w:id="0">
    <w:p w:rsidR="00DF5B9B" w:rsidRDefault="00DF5B9B" w:rsidP="00970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569976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F5B9B" w:rsidRPr="00A27DF6" w:rsidRDefault="00DF5B9B">
        <w:pPr>
          <w:pStyle w:val="af"/>
          <w:jc w:val="center"/>
          <w:rPr>
            <w:sz w:val="28"/>
            <w:szCs w:val="28"/>
          </w:rPr>
        </w:pPr>
        <w:r w:rsidRPr="00A27DF6">
          <w:rPr>
            <w:sz w:val="28"/>
            <w:szCs w:val="28"/>
          </w:rPr>
          <w:fldChar w:fldCharType="begin"/>
        </w:r>
        <w:r w:rsidRPr="00A27DF6">
          <w:rPr>
            <w:sz w:val="28"/>
            <w:szCs w:val="28"/>
          </w:rPr>
          <w:instrText>PAGE   \* MERGEFORMAT</w:instrText>
        </w:r>
        <w:r w:rsidRPr="00A27DF6">
          <w:rPr>
            <w:sz w:val="28"/>
            <w:szCs w:val="28"/>
          </w:rPr>
          <w:fldChar w:fldCharType="separate"/>
        </w:r>
        <w:r w:rsidR="007513F8">
          <w:rPr>
            <w:noProof/>
            <w:sz w:val="28"/>
            <w:szCs w:val="28"/>
          </w:rPr>
          <w:t>75</w:t>
        </w:r>
        <w:r w:rsidRPr="00A27DF6">
          <w:rPr>
            <w:sz w:val="28"/>
            <w:szCs w:val="28"/>
          </w:rPr>
          <w:fldChar w:fldCharType="end"/>
        </w:r>
      </w:p>
    </w:sdtContent>
  </w:sdt>
  <w:p w:rsidR="00DF5B9B" w:rsidRDefault="00DF5B9B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7682661"/>
      <w:docPartObj>
        <w:docPartGallery w:val="Page Numbers (Top of Page)"/>
        <w:docPartUnique/>
      </w:docPartObj>
    </w:sdtPr>
    <w:sdtEndPr/>
    <w:sdtContent>
      <w:p w:rsidR="00DF5B9B" w:rsidRDefault="00DF5B9B">
        <w:pPr>
          <w:pStyle w:val="af"/>
          <w:jc w:val="center"/>
        </w:pPr>
        <w:r w:rsidRPr="0075430C">
          <w:rPr>
            <w:sz w:val="28"/>
            <w:szCs w:val="28"/>
          </w:rPr>
          <w:fldChar w:fldCharType="begin"/>
        </w:r>
        <w:r w:rsidRPr="0075430C">
          <w:rPr>
            <w:sz w:val="28"/>
            <w:szCs w:val="28"/>
          </w:rPr>
          <w:instrText>PAGE   \* MERGEFORMAT</w:instrText>
        </w:r>
        <w:r w:rsidRPr="0075430C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</w:t>
        </w:r>
        <w:r w:rsidRPr="0075430C">
          <w:rPr>
            <w:sz w:val="28"/>
            <w:szCs w:val="28"/>
          </w:rPr>
          <w:fldChar w:fldCharType="end"/>
        </w:r>
      </w:p>
    </w:sdtContent>
  </w:sdt>
  <w:p w:rsidR="00DF5B9B" w:rsidRDefault="00DF5B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 w15:restartNumberingAfterBreak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0A8366ED"/>
    <w:multiLevelType w:val="hybridMultilevel"/>
    <w:tmpl w:val="CF1859FE"/>
    <w:lvl w:ilvl="0" w:tplc="B0E24760">
      <w:start w:val="1"/>
      <w:numFmt w:val="bullet"/>
      <w:pStyle w:val="a"/>
      <w:lvlText w:val=""/>
      <w:lvlJc w:val="left"/>
      <w:pPr>
        <w:tabs>
          <w:tab w:val="num" w:pos="424"/>
        </w:tabs>
        <w:ind w:left="991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3" w15:restartNumberingAfterBreak="0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6951C1"/>
    <w:multiLevelType w:val="multilevel"/>
    <w:tmpl w:val="D1740DA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229" w:hanging="1515"/>
      </w:pPr>
      <w:rPr>
        <w:rFonts w:cs="Times New Roman"/>
      </w:rPr>
    </w:lvl>
    <w:lvl w:ilvl="2">
      <w:start w:val="2"/>
      <w:numFmt w:val="decimal"/>
      <w:isLgl/>
      <w:lvlText w:val="%1.%2.%3."/>
      <w:lvlJc w:val="left"/>
      <w:pPr>
        <w:ind w:left="2234" w:hanging="1515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239" w:hanging="1515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244" w:hanging="1515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49" w:hanging="1515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3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909" w:hanging="2160"/>
      </w:pPr>
      <w:rPr>
        <w:rFonts w:cs="Times New Roman"/>
      </w:rPr>
    </w:lvl>
  </w:abstractNum>
  <w:abstractNum w:abstractNumId="6" w15:restartNumberingAfterBreak="0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 w15:restartNumberingAfterBreak="0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5" w15:restartNumberingAfterBreak="0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6" w15:restartNumberingAfterBreak="0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661463F4"/>
    <w:multiLevelType w:val="multilevel"/>
    <w:tmpl w:val="67160F6A"/>
    <w:styleLink w:val="a0"/>
    <w:lvl w:ilvl="0">
      <w:start w:val="1"/>
      <w:numFmt w:val="bullet"/>
      <w:lvlText w:val=""/>
      <w:lvlJc w:val="left"/>
      <w:pPr>
        <w:tabs>
          <w:tab w:val="num" w:pos="709"/>
        </w:tabs>
        <w:ind w:left="425" w:firstLine="0"/>
      </w:pPr>
      <w:rPr>
        <w:rFonts w:ascii="Symbol" w:hAnsi="Symbol" w:hint="default"/>
        <w:spacing w:val="26"/>
        <w:sz w:val="24"/>
      </w:rPr>
    </w:lvl>
    <w:lvl w:ilvl="1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1" w15:restartNumberingAfterBreak="0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C9A6F95"/>
    <w:multiLevelType w:val="multilevel"/>
    <w:tmpl w:val="C80866AA"/>
    <w:lvl w:ilvl="0">
      <w:start w:val="1"/>
      <w:numFmt w:val="decimal"/>
      <w:lvlText w:val="%1."/>
      <w:lvlJc w:val="left"/>
      <w:pPr>
        <w:ind w:left="1425" w:hanging="1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779" w:hanging="142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3" w:hanging="1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142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41" w:hanging="142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/>
      </w:rPr>
    </w:lvl>
  </w:abstractNum>
  <w:num w:numId="1">
    <w:abstractNumId w:val="21"/>
  </w:num>
  <w:num w:numId="2">
    <w:abstractNumId w:val="12"/>
  </w:num>
  <w:num w:numId="3">
    <w:abstractNumId w:val="3"/>
  </w:num>
  <w:num w:numId="4">
    <w:abstractNumId w:val="1"/>
  </w:num>
  <w:num w:numId="5">
    <w:abstractNumId w:val="10"/>
  </w:num>
  <w:num w:numId="6">
    <w:abstractNumId w:val="4"/>
  </w:num>
  <w:num w:numId="7">
    <w:abstractNumId w:val="13"/>
  </w:num>
  <w:num w:numId="8">
    <w:abstractNumId w:val="8"/>
  </w:num>
  <w:num w:numId="9">
    <w:abstractNumId w:val="11"/>
  </w:num>
  <w:num w:numId="10">
    <w:abstractNumId w:val="19"/>
  </w:num>
  <w:num w:numId="11">
    <w:abstractNumId w:val="6"/>
  </w:num>
  <w:num w:numId="12">
    <w:abstractNumId w:val="22"/>
  </w:num>
  <w:num w:numId="13">
    <w:abstractNumId w:val="15"/>
  </w:num>
  <w:num w:numId="14">
    <w:abstractNumId w:val="9"/>
  </w:num>
  <w:num w:numId="15">
    <w:abstractNumId w:val="16"/>
  </w:num>
  <w:num w:numId="16">
    <w:abstractNumId w:val="7"/>
  </w:num>
  <w:num w:numId="17">
    <w:abstractNumId w:val="17"/>
  </w:num>
  <w:num w:numId="18">
    <w:abstractNumId w:val="18"/>
  </w:num>
  <w:num w:numId="19">
    <w:abstractNumId w:val="14"/>
  </w:num>
  <w:num w:numId="20">
    <w:abstractNumId w:val="23"/>
  </w:num>
  <w:num w:numId="21">
    <w:abstractNumId w:val="2"/>
  </w:num>
  <w:num w:numId="22">
    <w:abstractNumId w:val="2"/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F8"/>
    <w:rsid w:val="000C0CC6"/>
    <w:rsid w:val="000F19E1"/>
    <w:rsid w:val="001273C3"/>
    <w:rsid w:val="00141D63"/>
    <w:rsid w:val="002022F0"/>
    <w:rsid w:val="00325DBF"/>
    <w:rsid w:val="00330F9D"/>
    <w:rsid w:val="00345E8E"/>
    <w:rsid w:val="003469F8"/>
    <w:rsid w:val="003518C0"/>
    <w:rsid w:val="00382990"/>
    <w:rsid w:val="003A6DF8"/>
    <w:rsid w:val="004328F6"/>
    <w:rsid w:val="00454A78"/>
    <w:rsid w:val="0046450A"/>
    <w:rsid w:val="00502AFB"/>
    <w:rsid w:val="00510562"/>
    <w:rsid w:val="005262CC"/>
    <w:rsid w:val="005738A5"/>
    <w:rsid w:val="005E558A"/>
    <w:rsid w:val="006115C7"/>
    <w:rsid w:val="006D47B1"/>
    <w:rsid w:val="007179D0"/>
    <w:rsid w:val="0074540D"/>
    <w:rsid w:val="007513F8"/>
    <w:rsid w:val="0075430C"/>
    <w:rsid w:val="00782EB1"/>
    <w:rsid w:val="007E5BC6"/>
    <w:rsid w:val="0080155C"/>
    <w:rsid w:val="008D3BAF"/>
    <w:rsid w:val="008F15F8"/>
    <w:rsid w:val="008F6D18"/>
    <w:rsid w:val="009705F0"/>
    <w:rsid w:val="009D3DD0"/>
    <w:rsid w:val="00A1100B"/>
    <w:rsid w:val="00A27DF6"/>
    <w:rsid w:val="00A30501"/>
    <w:rsid w:val="00AB0B86"/>
    <w:rsid w:val="00AF51C9"/>
    <w:rsid w:val="00AF6A4E"/>
    <w:rsid w:val="00B0589C"/>
    <w:rsid w:val="00B20833"/>
    <w:rsid w:val="00B542D9"/>
    <w:rsid w:val="00BA2307"/>
    <w:rsid w:val="00BB3A20"/>
    <w:rsid w:val="00BC572E"/>
    <w:rsid w:val="00BE69B2"/>
    <w:rsid w:val="00C015F7"/>
    <w:rsid w:val="00C13ED7"/>
    <w:rsid w:val="00CF05B8"/>
    <w:rsid w:val="00D83554"/>
    <w:rsid w:val="00DF5B9B"/>
    <w:rsid w:val="00E0792F"/>
    <w:rsid w:val="00E54E50"/>
    <w:rsid w:val="00E82347"/>
    <w:rsid w:val="00F823C6"/>
    <w:rsid w:val="00F9301B"/>
    <w:rsid w:val="00FA1DBC"/>
    <w:rsid w:val="00FB01F0"/>
    <w:rsid w:val="00FD23AC"/>
    <w:rsid w:val="00FE04D5"/>
    <w:rsid w:val="00F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3E1E640"/>
  <w15:chartTrackingRefBased/>
  <w15:docId w15:val="{8745A05C-E803-4FC0-A797-A23BF5B6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note text" w:uiPriority="9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page number" w:uiPriority="99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ind w:firstLine="426"/>
      <w:jc w:val="both"/>
      <w:outlineLvl w:val="0"/>
    </w:pPr>
    <w:rPr>
      <w:sz w:val="28"/>
    </w:rPr>
  </w:style>
  <w:style w:type="paragraph" w:styleId="2">
    <w:name w:val="heading 2"/>
    <w:aliases w:val="Знак3"/>
    <w:basedOn w:val="a1"/>
    <w:next w:val="a1"/>
    <w:link w:val="20"/>
    <w:uiPriority w:val="99"/>
    <w:qFormat/>
    <w:pPr>
      <w:keepNext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9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uiPriority w:val="99"/>
    <w:qFormat/>
    <w:pPr>
      <w:keepNext/>
      <w:ind w:firstLine="851"/>
      <w:outlineLvl w:val="3"/>
    </w:pPr>
    <w:rPr>
      <w:sz w:val="28"/>
    </w:rPr>
  </w:style>
  <w:style w:type="paragraph" w:styleId="5">
    <w:name w:val="heading 5"/>
    <w:basedOn w:val="a1"/>
    <w:next w:val="a1"/>
    <w:link w:val="50"/>
    <w:uiPriority w:val="99"/>
    <w:qFormat/>
    <w:pPr>
      <w:keepNext/>
      <w:outlineLvl w:val="4"/>
    </w:pPr>
    <w:rPr>
      <w:sz w:val="24"/>
    </w:rPr>
  </w:style>
  <w:style w:type="paragraph" w:styleId="6">
    <w:name w:val="heading 6"/>
    <w:basedOn w:val="a1"/>
    <w:next w:val="a1"/>
    <w:link w:val="60"/>
    <w:uiPriority w:val="99"/>
    <w:qFormat/>
    <w:pPr>
      <w:keepNext/>
      <w:jc w:val="center"/>
      <w:outlineLvl w:val="5"/>
    </w:pPr>
    <w:rPr>
      <w:b/>
      <w:sz w:val="44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A27D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A27D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A27DF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pPr>
      <w:ind w:firstLine="567"/>
    </w:pPr>
    <w:rPr>
      <w:sz w:val="28"/>
    </w:rPr>
  </w:style>
  <w:style w:type="paragraph" w:styleId="21">
    <w:name w:val="Body Text Indent 2"/>
    <w:basedOn w:val="a1"/>
    <w:link w:val="22"/>
    <w:uiPriority w:val="99"/>
    <w:pPr>
      <w:ind w:firstLine="851"/>
      <w:jc w:val="both"/>
    </w:pPr>
    <w:rPr>
      <w:sz w:val="28"/>
    </w:rPr>
  </w:style>
  <w:style w:type="paragraph" w:styleId="31">
    <w:name w:val="Body Text Indent 3"/>
    <w:basedOn w:val="a1"/>
    <w:link w:val="32"/>
    <w:uiPriority w:val="99"/>
    <w:pPr>
      <w:ind w:firstLine="851"/>
    </w:pPr>
    <w:rPr>
      <w:sz w:val="28"/>
      <w:lang w:val="en-US"/>
    </w:rPr>
  </w:style>
  <w:style w:type="paragraph" w:styleId="a9">
    <w:name w:val="caption"/>
    <w:basedOn w:val="a1"/>
    <w:next w:val="a1"/>
    <w:qFormat/>
    <w:pPr>
      <w:jc w:val="center"/>
    </w:pPr>
    <w:rPr>
      <w:b/>
      <w:sz w:val="32"/>
    </w:rPr>
  </w:style>
  <w:style w:type="paragraph" w:styleId="aa">
    <w:name w:val="Block Text"/>
    <w:basedOn w:val="a1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table" w:styleId="ab">
    <w:name w:val="Table Grid"/>
    <w:basedOn w:val="a3"/>
    <w:uiPriority w:val="99"/>
    <w:rsid w:val="004328F6"/>
    <w:pPr>
      <w:overflowPunct w:val="0"/>
      <w:autoSpaceDE w:val="0"/>
      <w:autoSpaceDN w:val="0"/>
      <w:adjustRightInd w:val="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num">
    <w:name w:val="Date_num"/>
    <w:basedOn w:val="a2"/>
    <w:rsid w:val="004328F6"/>
  </w:style>
  <w:style w:type="character" w:styleId="ac">
    <w:name w:val="Placeholder Text"/>
    <w:basedOn w:val="a2"/>
    <w:uiPriority w:val="99"/>
    <w:semiHidden/>
    <w:rsid w:val="004328F6"/>
    <w:rPr>
      <w:color w:val="808080"/>
    </w:rPr>
  </w:style>
  <w:style w:type="paragraph" w:customStyle="1" w:styleId="HeadDoc">
    <w:name w:val="HeadDoc"/>
    <w:link w:val="HeadDoc0"/>
    <w:uiPriority w:val="99"/>
    <w:qFormat/>
    <w:rsid w:val="004328F6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2"/>
    <w:link w:val="HeadDoc"/>
    <w:uiPriority w:val="99"/>
    <w:locked/>
    <w:rsid w:val="004328F6"/>
    <w:rPr>
      <w:sz w:val="28"/>
    </w:rPr>
  </w:style>
  <w:style w:type="paragraph" w:styleId="ad">
    <w:name w:val="Balloon Text"/>
    <w:basedOn w:val="a1"/>
    <w:link w:val="ae"/>
    <w:uiPriority w:val="99"/>
    <w:rsid w:val="004328F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uiPriority w:val="99"/>
    <w:rsid w:val="004328F6"/>
    <w:rPr>
      <w:rFonts w:ascii="Segoe UI" w:hAnsi="Segoe UI" w:cs="Segoe UI"/>
      <w:sz w:val="18"/>
      <w:szCs w:val="18"/>
    </w:rPr>
  </w:style>
  <w:style w:type="paragraph" w:styleId="af">
    <w:name w:val="header"/>
    <w:basedOn w:val="a1"/>
    <w:link w:val="af0"/>
    <w:uiPriority w:val="99"/>
    <w:rsid w:val="009705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uiPriority w:val="99"/>
    <w:rsid w:val="009705F0"/>
  </w:style>
  <w:style w:type="paragraph" w:styleId="af1">
    <w:name w:val="footer"/>
    <w:basedOn w:val="a1"/>
    <w:link w:val="af2"/>
    <w:uiPriority w:val="99"/>
    <w:rsid w:val="009705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9705F0"/>
  </w:style>
  <w:style w:type="character" w:customStyle="1" w:styleId="70">
    <w:name w:val="Заголовок 7 Знак"/>
    <w:basedOn w:val="a2"/>
    <w:link w:val="7"/>
    <w:uiPriority w:val="99"/>
    <w:semiHidden/>
    <w:rsid w:val="00A27DF6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9"/>
    <w:semiHidden/>
    <w:rsid w:val="00A27D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9"/>
    <w:semiHidden/>
    <w:rsid w:val="00A27D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2"/>
    <w:link w:val="1"/>
    <w:rsid w:val="00A27DF6"/>
    <w:rPr>
      <w:sz w:val="28"/>
    </w:rPr>
  </w:style>
  <w:style w:type="character" w:customStyle="1" w:styleId="20">
    <w:name w:val="Заголовок 2 Знак"/>
    <w:aliases w:val="Знак3 Знак"/>
    <w:basedOn w:val="a2"/>
    <w:link w:val="2"/>
    <w:uiPriority w:val="99"/>
    <w:rsid w:val="00A27DF6"/>
    <w:rPr>
      <w:sz w:val="28"/>
    </w:rPr>
  </w:style>
  <w:style w:type="character" w:customStyle="1" w:styleId="30">
    <w:name w:val="Заголовок 3 Знак"/>
    <w:basedOn w:val="a2"/>
    <w:link w:val="3"/>
    <w:uiPriority w:val="99"/>
    <w:rsid w:val="00A27DF6"/>
    <w:rPr>
      <w:sz w:val="28"/>
    </w:rPr>
  </w:style>
  <w:style w:type="character" w:customStyle="1" w:styleId="40">
    <w:name w:val="Заголовок 4 Знак"/>
    <w:basedOn w:val="a2"/>
    <w:link w:val="4"/>
    <w:uiPriority w:val="99"/>
    <w:rsid w:val="00A27DF6"/>
    <w:rPr>
      <w:sz w:val="28"/>
    </w:rPr>
  </w:style>
  <w:style w:type="character" w:customStyle="1" w:styleId="50">
    <w:name w:val="Заголовок 5 Знак"/>
    <w:basedOn w:val="a2"/>
    <w:link w:val="5"/>
    <w:uiPriority w:val="99"/>
    <w:rsid w:val="00A27DF6"/>
    <w:rPr>
      <w:sz w:val="24"/>
    </w:rPr>
  </w:style>
  <w:style w:type="character" w:customStyle="1" w:styleId="60">
    <w:name w:val="Заголовок 6 Знак"/>
    <w:basedOn w:val="a2"/>
    <w:link w:val="6"/>
    <w:uiPriority w:val="99"/>
    <w:rsid w:val="00A27DF6"/>
    <w:rPr>
      <w:b/>
      <w:sz w:val="44"/>
    </w:rPr>
  </w:style>
  <w:style w:type="character" w:styleId="af3">
    <w:name w:val="Hyperlink"/>
    <w:uiPriority w:val="99"/>
    <w:unhideWhenUsed/>
    <w:rsid w:val="00A27DF6"/>
    <w:rPr>
      <w:rFonts w:ascii="Times New Roman" w:hAnsi="Times New Roman" w:cs="Times New Roman" w:hint="default"/>
      <w:color w:val="0000FF"/>
      <w:u w:val="single"/>
    </w:rPr>
  </w:style>
  <w:style w:type="character" w:styleId="af4">
    <w:name w:val="FollowedHyperlink"/>
    <w:uiPriority w:val="99"/>
    <w:unhideWhenUsed/>
    <w:rsid w:val="00A27DF6"/>
    <w:rPr>
      <w:rFonts w:ascii="Times New Roman" w:hAnsi="Times New Roman" w:cs="Times New Roman" w:hint="default"/>
      <w:color w:val="800080"/>
      <w:u w:val="single"/>
    </w:rPr>
  </w:style>
  <w:style w:type="character" w:styleId="af5">
    <w:name w:val="Emphasis"/>
    <w:uiPriority w:val="20"/>
    <w:qFormat/>
    <w:rsid w:val="00A27DF6"/>
    <w:rPr>
      <w:rFonts w:ascii="Times New Roman" w:hAnsi="Times New Roman" w:cs="Times New Roman" w:hint="default"/>
      <w:i/>
      <w:iCs w:val="0"/>
    </w:rPr>
  </w:style>
  <w:style w:type="character" w:customStyle="1" w:styleId="210">
    <w:name w:val="Заголовок 2 Знак1"/>
    <w:aliases w:val="Знак3 Знак1"/>
    <w:uiPriority w:val="99"/>
    <w:semiHidden/>
    <w:rsid w:val="00A27DF6"/>
    <w:rPr>
      <w:rFonts w:ascii="Cambria" w:eastAsia="Times New Roman" w:hAnsi="Cambria" w:cs="Times New Roman" w:hint="default"/>
      <w:color w:val="365F91"/>
      <w:sz w:val="26"/>
      <w:szCs w:val="26"/>
    </w:rPr>
  </w:style>
  <w:style w:type="paragraph" w:styleId="HTML">
    <w:name w:val="HTML Preformatted"/>
    <w:basedOn w:val="a1"/>
    <w:link w:val="HTML0"/>
    <w:uiPriority w:val="99"/>
    <w:unhideWhenUsed/>
    <w:rsid w:val="00A27D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2"/>
    <w:link w:val="HTML"/>
    <w:uiPriority w:val="99"/>
    <w:rsid w:val="00A27DF6"/>
    <w:rPr>
      <w:rFonts w:ascii="Courier New" w:hAnsi="Courier New"/>
      <w:lang w:val="x-none" w:eastAsia="x-none"/>
    </w:rPr>
  </w:style>
  <w:style w:type="character" w:styleId="af6">
    <w:name w:val="Strong"/>
    <w:uiPriority w:val="22"/>
    <w:qFormat/>
    <w:rsid w:val="00A27DF6"/>
    <w:rPr>
      <w:rFonts w:ascii="Times New Roman" w:hAnsi="Times New Roman" w:cs="Times New Roman" w:hint="default"/>
      <w:b/>
      <w:bCs w:val="0"/>
    </w:rPr>
  </w:style>
  <w:style w:type="character" w:customStyle="1" w:styleId="11">
    <w:name w:val="Обычный (веб) Знак1"/>
    <w:aliases w:val="Обычный (Web)1 Знак,Обычный (Web) Знак1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,Знак Знак Знак"/>
    <w:link w:val="af7"/>
    <w:locked/>
    <w:rsid w:val="00A27DF6"/>
    <w:rPr>
      <w:sz w:val="24"/>
    </w:rPr>
  </w:style>
  <w:style w:type="paragraph" w:styleId="af7">
    <w:name w:val="Normal (Web)"/>
    <w:aliases w:val="Обычный (Web)1,Обычный (Web),Обычный (веб)211,Обычный (веб)11,Обычный (веб) Знак,Обычный (Web) Знак,Обычный (веб)4,Обычный (Web)11,Обычный (веб)21,Обычный (веб)3,Обычный (Web) Знак Знак Знак Знак,Знак Знак"/>
    <w:basedOn w:val="a1"/>
    <w:link w:val="11"/>
    <w:unhideWhenUsed/>
    <w:qFormat/>
    <w:rsid w:val="00A27DF6"/>
    <w:pPr>
      <w:ind w:left="720"/>
      <w:contextualSpacing/>
    </w:pPr>
    <w:rPr>
      <w:sz w:val="24"/>
    </w:rPr>
  </w:style>
  <w:style w:type="character" w:customStyle="1" w:styleId="af8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,fn Знак"/>
    <w:link w:val="af9"/>
    <w:uiPriority w:val="99"/>
    <w:locked/>
    <w:rsid w:val="00A27DF6"/>
    <w:rPr>
      <w:rFonts w:ascii="Arial" w:hAnsi="Arial" w:cs="Arial"/>
      <w:spacing w:val="-5"/>
      <w:lang w:eastAsia="en-US"/>
    </w:rPr>
  </w:style>
  <w:style w:type="paragraph" w:styleId="af9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,fn,ft,Текст сноски-FN"/>
    <w:basedOn w:val="a1"/>
    <w:link w:val="af8"/>
    <w:uiPriority w:val="99"/>
    <w:unhideWhenUsed/>
    <w:qFormat/>
    <w:rsid w:val="00A27DF6"/>
    <w:pPr>
      <w:ind w:left="835" w:right="835"/>
      <w:contextualSpacing/>
    </w:pPr>
    <w:rPr>
      <w:rFonts w:ascii="Arial" w:hAnsi="Arial" w:cs="Arial"/>
      <w:spacing w:val="-5"/>
      <w:lang w:eastAsia="en-US"/>
    </w:rPr>
  </w:style>
  <w:style w:type="character" w:customStyle="1" w:styleId="12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1"/>
    <w:basedOn w:val="a2"/>
    <w:uiPriority w:val="99"/>
    <w:rsid w:val="00A27DF6"/>
  </w:style>
  <w:style w:type="character" w:customStyle="1" w:styleId="afa">
    <w:name w:val="Текст примечания Знак"/>
    <w:basedOn w:val="a2"/>
    <w:link w:val="afb"/>
    <w:locked/>
    <w:rsid w:val="00A27DF6"/>
    <w:rPr>
      <w:rFonts w:ascii="Calibri" w:eastAsia="Calibri" w:hAnsi="Calibri" w:cs="Calibri"/>
      <w:color w:val="000000"/>
      <w:sz w:val="24"/>
      <w:szCs w:val="24"/>
    </w:rPr>
  </w:style>
  <w:style w:type="character" w:customStyle="1" w:styleId="afc">
    <w:name w:val="Название Знак"/>
    <w:locked/>
    <w:rsid w:val="00A27DF6"/>
    <w:rPr>
      <w:sz w:val="28"/>
    </w:rPr>
  </w:style>
  <w:style w:type="character" w:customStyle="1" w:styleId="a6">
    <w:name w:val="Основной текст Знак"/>
    <w:basedOn w:val="a2"/>
    <w:link w:val="a5"/>
    <w:uiPriority w:val="99"/>
    <w:locked/>
    <w:rsid w:val="00A27DF6"/>
    <w:rPr>
      <w:sz w:val="28"/>
    </w:rPr>
  </w:style>
  <w:style w:type="character" w:customStyle="1" w:styleId="a8">
    <w:name w:val="Основной текст с отступом Знак"/>
    <w:basedOn w:val="a2"/>
    <w:link w:val="a7"/>
    <w:uiPriority w:val="99"/>
    <w:locked/>
    <w:rsid w:val="00A27DF6"/>
    <w:rPr>
      <w:sz w:val="28"/>
    </w:rPr>
  </w:style>
  <w:style w:type="character" w:customStyle="1" w:styleId="afd">
    <w:name w:val="Подзаголовок Знак"/>
    <w:link w:val="afe"/>
    <w:locked/>
    <w:rsid w:val="00A27DF6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23">
    <w:name w:val="Основной текст 2 Знак"/>
    <w:basedOn w:val="a2"/>
    <w:link w:val="24"/>
    <w:uiPriority w:val="99"/>
    <w:locked/>
    <w:rsid w:val="00A27DF6"/>
  </w:style>
  <w:style w:type="character" w:customStyle="1" w:styleId="33">
    <w:name w:val="Основной текст 3 Знак"/>
    <w:link w:val="34"/>
    <w:uiPriority w:val="99"/>
    <w:locked/>
    <w:rsid w:val="00A27DF6"/>
    <w:rPr>
      <w:sz w:val="16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A27DF6"/>
    <w:rPr>
      <w:sz w:val="28"/>
    </w:rPr>
  </w:style>
  <w:style w:type="character" w:customStyle="1" w:styleId="32">
    <w:name w:val="Основной текст с отступом 3 Знак"/>
    <w:basedOn w:val="a2"/>
    <w:link w:val="31"/>
    <w:uiPriority w:val="99"/>
    <w:locked/>
    <w:rsid w:val="00A27DF6"/>
    <w:rPr>
      <w:sz w:val="28"/>
      <w:lang w:val="en-US"/>
    </w:rPr>
  </w:style>
  <w:style w:type="character" w:customStyle="1" w:styleId="aff">
    <w:name w:val="Текст Знак"/>
    <w:link w:val="aff0"/>
    <w:locked/>
    <w:rsid w:val="00A27DF6"/>
    <w:rPr>
      <w:rFonts w:ascii="Courier New" w:hAnsi="Courier New" w:cs="Courier New"/>
      <w:b/>
    </w:rPr>
  </w:style>
  <w:style w:type="paragraph" w:styleId="afb">
    <w:name w:val="annotation text"/>
    <w:basedOn w:val="a1"/>
    <w:link w:val="afa"/>
    <w:unhideWhenUsed/>
    <w:rsid w:val="00A27DF6"/>
    <w:rPr>
      <w:rFonts w:ascii="Calibri" w:eastAsia="Calibri" w:hAnsi="Calibri" w:cs="Calibri"/>
      <w:color w:val="000000"/>
      <w:sz w:val="24"/>
      <w:szCs w:val="24"/>
    </w:rPr>
  </w:style>
  <w:style w:type="character" w:customStyle="1" w:styleId="13">
    <w:name w:val="Текст примечания Знак1"/>
    <w:basedOn w:val="a2"/>
    <w:rsid w:val="00A27DF6"/>
  </w:style>
  <w:style w:type="character" w:customStyle="1" w:styleId="aff1">
    <w:name w:val="Тема примечания Знак"/>
    <w:basedOn w:val="afa"/>
    <w:link w:val="aff2"/>
    <w:locked/>
    <w:rsid w:val="00A27DF6"/>
    <w:rPr>
      <w:rFonts w:ascii="Calibri" w:eastAsia="Calibri" w:hAnsi="Calibri" w:cs="Calibri"/>
      <w:b/>
      <w:bCs/>
      <w:color w:val="000000"/>
      <w:sz w:val="24"/>
      <w:szCs w:val="24"/>
      <w:lang w:val="x-none" w:eastAsia="x-none"/>
    </w:rPr>
  </w:style>
  <w:style w:type="character" w:customStyle="1" w:styleId="aff3">
    <w:name w:val="Абзац списка Знак"/>
    <w:link w:val="aff4"/>
    <w:uiPriority w:val="34"/>
    <w:locked/>
    <w:rsid w:val="00A27DF6"/>
    <w:rPr>
      <w:rFonts w:ascii="Calibri" w:hAnsi="Calibri" w:cs="Calibri"/>
      <w:sz w:val="22"/>
      <w:szCs w:val="22"/>
      <w:lang w:eastAsia="en-US"/>
    </w:rPr>
  </w:style>
  <w:style w:type="paragraph" w:customStyle="1" w:styleId="51">
    <w:name w:val="Знак5 Знак Знак Знак Знак Знак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text20">
    <w:name w:val="text20"/>
    <w:basedOn w:val="a1"/>
    <w:uiPriority w:val="99"/>
    <w:qFormat/>
    <w:rsid w:val="00A27DF6"/>
    <w:pPr>
      <w:spacing w:after="216" w:line="312" w:lineRule="auto"/>
      <w:contextualSpacing/>
    </w:pPr>
    <w:rPr>
      <w:rFonts w:ascii="Arial" w:eastAsia="Calibri" w:hAnsi="Arial" w:cs="Arial"/>
      <w:color w:val="000000"/>
      <w:sz w:val="18"/>
      <w:szCs w:val="18"/>
    </w:rPr>
  </w:style>
  <w:style w:type="paragraph" w:customStyle="1" w:styleId="pic1src1">
    <w:name w:val="pic1_src1"/>
    <w:basedOn w:val="a1"/>
    <w:uiPriority w:val="99"/>
    <w:qFormat/>
    <w:rsid w:val="00A27DF6"/>
    <w:pPr>
      <w:contextualSpacing/>
    </w:pPr>
    <w:rPr>
      <w:rFonts w:ascii="Arial" w:eastAsia="Calibri" w:hAnsi="Arial" w:cs="Arial"/>
      <w:color w:val="828282"/>
      <w:sz w:val="14"/>
      <w:szCs w:val="14"/>
    </w:rPr>
  </w:style>
  <w:style w:type="paragraph" w:customStyle="1" w:styleId="1body">
    <w:name w:val="1body"/>
    <w:basedOn w:val="a1"/>
    <w:uiPriority w:val="99"/>
    <w:qFormat/>
    <w:rsid w:val="00A27DF6"/>
    <w:pPr>
      <w:ind w:firstLine="227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aff5">
    <w:name w:val="Таблицы (моноширинный)"/>
    <w:basedOn w:val="a1"/>
    <w:next w:val="a1"/>
    <w:uiPriority w:val="99"/>
    <w:qFormat/>
    <w:rsid w:val="00A27DF6"/>
    <w:pPr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color w:val="000000"/>
      <w:sz w:val="24"/>
      <w:szCs w:val="24"/>
    </w:rPr>
  </w:style>
  <w:style w:type="paragraph" w:customStyle="1" w:styleId="ConsPlusTitle">
    <w:name w:val="ConsPlusTitle"/>
    <w:qFormat/>
    <w:rsid w:val="00A27DF6"/>
    <w:pPr>
      <w:autoSpaceDE w:val="0"/>
      <w:autoSpaceDN w:val="0"/>
      <w:adjustRightInd w:val="0"/>
      <w:contextualSpacing/>
    </w:pPr>
    <w:rPr>
      <w:b/>
      <w:bCs/>
      <w:sz w:val="24"/>
      <w:szCs w:val="24"/>
    </w:rPr>
  </w:style>
  <w:style w:type="paragraph" w:customStyle="1" w:styleId="interview1">
    <w:name w:val="interview1"/>
    <w:basedOn w:val="a1"/>
    <w:uiPriority w:val="99"/>
    <w:qFormat/>
    <w:rsid w:val="00A27DF6"/>
    <w:pPr>
      <w:spacing w:after="144" w:line="312" w:lineRule="auto"/>
      <w:contextualSpacing/>
    </w:pPr>
    <w:rPr>
      <w:rFonts w:ascii="Arial" w:eastAsia="Calibri" w:hAnsi="Arial" w:cs="Arial"/>
      <w:b/>
      <w:bCs/>
      <w:i/>
      <w:iCs/>
      <w:color w:val="333333"/>
      <w:sz w:val="18"/>
      <w:szCs w:val="18"/>
    </w:rPr>
  </w:style>
  <w:style w:type="paragraph" w:customStyle="1" w:styleId="213">
    <w:name w:val="Заголовок 213"/>
    <w:basedOn w:val="a1"/>
    <w:uiPriority w:val="99"/>
    <w:qFormat/>
    <w:rsid w:val="00A27DF6"/>
    <w:pPr>
      <w:spacing w:after="216"/>
      <w:contextualSpacing/>
      <w:outlineLvl w:val="2"/>
    </w:pPr>
    <w:rPr>
      <w:rFonts w:ascii="Arial" w:eastAsia="Calibri" w:hAnsi="Arial" w:cs="Arial"/>
      <w:color w:val="808080"/>
      <w:sz w:val="23"/>
      <w:szCs w:val="23"/>
    </w:rPr>
  </w:style>
  <w:style w:type="paragraph" w:customStyle="1" w:styleId="340">
    <w:name w:val="Заголовок 34"/>
    <w:basedOn w:val="a1"/>
    <w:uiPriority w:val="99"/>
    <w:qFormat/>
    <w:rsid w:val="00A27DF6"/>
    <w:pPr>
      <w:spacing w:before="432" w:after="72"/>
      <w:contextualSpacing/>
      <w:outlineLvl w:val="3"/>
    </w:pPr>
    <w:rPr>
      <w:rFonts w:ascii="Arial" w:eastAsia="Calibri" w:hAnsi="Arial" w:cs="Arial"/>
      <w:b/>
      <w:bCs/>
      <w:color w:val="000000"/>
      <w:sz w:val="24"/>
      <w:szCs w:val="24"/>
    </w:rPr>
  </w:style>
  <w:style w:type="paragraph" w:customStyle="1" w:styleId="14">
    <w:name w:val="Обычный (веб)1"/>
    <w:basedOn w:val="a1"/>
    <w:uiPriority w:val="99"/>
    <w:qFormat/>
    <w:rsid w:val="00A27DF6"/>
    <w:pPr>
      <w:spacing w:before="100" w:beforeAutospacing="1" w:after="100" w:afterAutospacing="1"/>
      <w:contextualSpacing/>
      <w:jc w:val="both"/>
    </w:pPr>
    <w:rPr>
      <w:rFonts w:ascii="Arial" w:eastAsia="Calibri" w:hAnsi="Arial" w:cs="Arial"/>
      <w:color w:val="333333"/>
      <w:sz w:val="18"/>
      <w:szCs w:val="18"/>
    </w:rPr>
  </w:style>
  <w:style w:type="paragraph" w:customStyle="1" w:styleId="aff6">
    <w:name w:val="Список определений"/>
    <w:basedOn w:val="a1"/>
    <w:next w:val="aff7"/>
    <w:uiPriority w:val="99"/>
    <w:qFormat/>
    <w:rsid w:val="00A27DF6"/>
    <w:pPr>
      <w:ind w:left="360"/>
      <w:contextualSpacing/>
    </w:pPr>
    <w:rPr>
      <w:rFonts w:eastAsia="Calibri"/>
      <w:color w:val="000000"/>
      <w:sz w:val="24"/>
      <w:szCs w:val="24"/>
    </w:rPr>
  </w:style>
  <w:style w:type="paragraph" w:customStyle="1" w:styleId="aff7">
    <w:name w:val="Термин"/>
    <w:basedOn w:val="a1"/>
    <w:next w:val="aff6"/>
    <w:uiPriority w:val="99"/>
    <w:qFormat/>
    <w:rsid w:val="00A27DF6"/>
    <w:pPr>
      <w:contextualSpacing/>
    </w:pPr>
    <w:rPr>
      <w:rFonts w:eastAsia="Calibri"/>
      <w:color w:val="000000"/>
      <w:sz w:val="24"/>
      <w:szCs w:val="24"/>
    </w:rPr>
  </w:style>
  <w:style w:type="paragraph" w:customStyle="1" w:styleId="aff8">
    <w:name w:val="Стиль"/>
    <w:uiPriority w:val="99"/>
    <w:qFormat/>
    <w:rsid w:val="00A27DF6"/>
    <w:pPr>
      <w:ind w:firstLine="720"/>
      <w:contextualSpacing/>
      <w:jc w:val="both"/>
    </w:pPr>
    <w:rPr>
      <w:rFonts w:ascii="Arial" w:hAnsi="Arial"/>
    </w:rPr>
  </w:style>
  <w:style w:type="paragraph" w:customStyle="1" w:styleId="aff9">
    <w:name w:val="Комментарий"/>
    <w:basedOn w:val="a1"/>
    <w:next w:val="a1"/>
    <w:uiPriority w:val="99"/>
    <w:qFormat/>
    <w:rsid w:val="00A27DF6"/>
    <w:pPr>
      <w:autoSpaceDE w:val="0"/>
      <w:autoSpaceDN w:val="0"/>
      <w:adjustRightInd w:val="0"/>
      <w:ind w:left="170"/>
      <w:contextualSpacing/>
      <w:jc w:val="both"/>
    </w:pPr>
    <w:rPr>
      <w:rFonts w:ascii="Arial" w:eastAsia="Calibri" w:hAnsi="Arial"/>
      <w:i/>
      <w:iCs/>
      <w:color w:val="800080"/>
      <w:sz w:val="24"/>
      <w:szCs w:val="24"/>
    </w:rPr>
  </w:style>
  <w:style w:type="paragraph" w:customStyle="1" w:styleId="ConsNormal">
    <w:name w:val="ConsNormal"/>
    <w:uiPriority w:val="99"/>
    <w:qFormat/>
    <w:rsid w:val="00A27DF6"/>
    <w:pPr>
      <w:widowControl w:val="0"/>
      <w:autoSpaceDE w:val="0"/>
      <w:autoSpaceDN w:val="0"/>
      <w:adjustRightInd w:val="0"/>
      <w:ind w:right="19772" w:firstLine="720"/>
      <w:contextualSpacing/>
    </w:pPr>
    <w:rPr>
      <w:rFonts w:ascii="Arial" w:hAnsi="Arial" w:cs="Arial"/>
    </w:rPr>
  </w:style>
  <w:style w:type="paragraph" w:customStyle="1" w:styleId="15">
    <w:name w:val="заголовок 1"/>
    <w:basedOn w:val="a1"/>
    <w:next w:val="a1"/>
    <w:uiPriority w:val="99"/>
    <w:qFormat/>
    <w:rsid w:val="00A27DF6"/>
    <w:pPr>
      <w:keepNext/>
      <w:contextualSpacing/>
      <w:jc w:val="center"/>
    </w:pPr>
    <w:rPr>
      <w:rFonts w:eastAsia="Calibri"/>
      <w:b/>
      <w:color w:val="000000"/>
      <w:sz w:val="32"/>
      <w:szCs w:val="24"/>
    </w:rPr>
  </w:style>
  <w:style w:type="paragraph" w:customStyle="1" w:styleId="41">
    <w:name w:val="заголовок 4"/>
    <w:basedOn w:val="a1"/>
    <w:next w:val="a1"/>
    <w:uiPriority w:val="99"/>
    <w:qFormat/>
    <w:rsid w:val="00A27DF6"/>
    <w:pPr>
      <w:keepNext/>
      <w:contextualSpacing/>
      <w:jc w:val="center"/>
      <w:outlineLvl w:val="3"/>
    </w:pPr>
    <w:rPr>
      <w:rFonts w:eastAsia="Calibri"/>
      <w:b/>
      <w:color w:val="000000"/>
      <w:sz w:val="40"/>
      <w:szCs w:val="24"/>
    </w:rPr>
  </w:style>
  <w:style w:type="paragraph" w:customStyle="1" w:styleId="16">
    <w:name w:val="Заголовок1"/>
    <w:basedOn w:val="a1"/>
    <w:next w:val="2"/>
    <w:uiPriority w:val="99"/>
    <w:qFormat/>
    <w:rsid w:val="00A27DF6"/>
    <w:pPr>
      <w:widowControl w:val="0"/>
      <w:overflowPunct w:val="0"/>
      <w:autoSpaceDE w:val="0"/>
      <w:autoSpaceDN w:val="0"/>
      <w:adjustRightInd w:val="0"/>
      <w:spacing w:after="200"/>
      <w:contextualSpacing/>
      <w:jc w:val="center"/>
    </w:pPr>
    <w:rPr>
      <w:rFonts w:eastAsia="Calibri"/>
      <w:b/>
      <w:bCs/>
      <w:color w:val="000000"/>
      <w:sz w:val="32"/>
      <w:szCs w:val="32"/>
    </w:rPr>
  </w:style>
  <w:style w:type="paragraph" w:customStyle="1" w:styleId="25">
    <w:name w:val="Заголовок2"/>
    <w:basedOn w:val="a1"/>
    <w:next w:val="a1"/>
    <w:uiPriority w:val="99"/>
    <w:qFormat/>
    <w:rsid w:val="00A27DF6"/>
    <w:pPr>
      <w:widowControl w:val="0"/>
      <w:overflowPunct w:val="0"/>
      <w:autoSpaceDE w:val="0"/>
      <w:autoSpaceDN w:val="0"/>
      <w:adjustRightInd w:val="0"/>
      <w:spacing w:after="200"/>
      <w:contextualSpacing/>
      <w:jc w:val="center"/>
    </w:pPr>
    <w:rPr>
      <w:rFonts w:eastAsia="Calibri"/>
      <w:b/>
      <w:bCs/>
      <w:color w:val="000000"/>
      <w:spacing w:val="60"/>
      <w:sz w:val="36"/>
      <w:szCs w:val="36"/>
    </w:rPr>
  </w:style>
  <w:style w:type="paragraph" w:customStyle="1" w:styleId="affa">
    <w:name w:val="письмо"/>
    <w:basedOn w:val="a1"/>
    <w:uiPriority w:val="99"/>
    <w:qFormat/>
    <w:rsid w:val="00A27DF6"/>
    <w:pPr>
      <w:ind w:firstLine="709"/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211">
    <w:name w:val="Основной текст с отступом 21"/>
    <w:basedOn w:val="a1"/>
    <w:uiPriority w:val="99"/>
    <w:qFormat/>
    <w:rsid w:val="00A27DF6"/>
    <w:pPr>
      <w:ind w:firstLine="709"/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affb">
    <w:name w:val="Нормальный"/>
    <w:basedOn w:val="a1"/>
    <w:qFormat/>
    <w:rsid w:val="00A27DF6"/>
    <w:pPr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310">
    <w:name w:val="Основной текст с отступом 31"/>
    <w:basedOn w:val="a1"/>
    <w:uiPriority w:val="99"/>
    <w:qFormat/>
    <w:rsid w:val="00A27DF6"/>
    <w:pPr>
      <w:widowControl w:val="0"/>
      <w:spacing w:line="256" w:lineRule="auto"/>
      <w:ind w:right="400" w:firstLine="851"/>
      <w:contextualSpacing/>
      <w:jc w:val="both"/>
    </w:pPr>
    <w:rPr>
      <w:rFonts w:eastAsia="Calibri"/>
      <w:color w:val="000000"/>
      <w:sz w:val="22"/>
      <w:szCs w:val="24"/>
    </w:rPr>
  </w:style>
  <w:style w:type="paragraph" w:customStyle="1" w:styleId="FR3">
    <w:name w:val="FR3"/>
    <w:uiPriority w:val="99"/>
    <w:qFormat/>
    <w:rsid w:val="00A27DF6"/>
    <w:pPr>
      <w:widowControl w:val="0"/>
      <w:spacing w:line="336" w:lineRule="auto"/>
      <w:ind w:firstLine="840"/>
      <w:contextualSpacing/>
    </w:pPr>
    <w:rPr>
      <w:rFonts w:ascii="Arial" w:hAnsi="Arial"/>
      <w:sz w:val="22"/>
    </w:rPr>
  </w:style>
  <w:style w:type="paragraph" w:customStyle="1" w:styleId="62">
    <w:name w:val="Заголовок 62"/>
    <w:basedOn w:val="a1"/>
    <w:uiPriority w:val="99"/>
    <w:qFormat/>
    <w:rsid w:val="00A27DF6"/>
    <w:pPr>
      <w:shd w:val="clear" w:color="auto" w:fill="EEEEEE"/>
      <w:contextualSpacing/>
      <w:jc w:val="center"/>
      <w:outlineLvl w:val="6"/>
    </w:pPr>
    <w:rPr>
      <w:rFonts w:eastAsia="Calibri"/>
      <w:b/>
      <w:bCs/>
      <w:color w:val="000000"/>
      <w:sz w:val="24"/>
      <w:szCs w:val="24"/>
    </w:rPr>
  </w:style>
  <w:style w:type="paragraph" w:customStyle="1" w:styleId="17">
    <w:name w:val="Стиль1"/>
    <w:basedOn w:val="a1"/>
    <w:uiPriority w:val="99"/>
    <w:qFormat/>
    <w:rsid w:val="00A27DF6"/>
    <w:pPr>
      <w:ind w:firstLine="709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220">
    <w:name w:val="Основной текст с отступом 22"/>
    <w:basedOn w:val="a1"/>
    <w:uiPriority w:val="99"/>
    <w:qFormat/>
    <w:rsid w:val="00A27DF6"/>
    <w:pPr>
      <w:ind w:firstLine="426"/>
      <w:contextualSpacing/>
      <w:jc w:val="both"/>
    </w:pPr>
    <w:rPr>
      <w:rFonts w:eastAsia="Calibri"/>
      <w:color w:val="000000"/>
      <w:sz w:val="28"/>
      <w:szCs w:val="24"/>
      <w:lang w:eastAsia="ar-SA"/>
    </w:rPr>
  </w:style>
  <w:style w:type="paragraph" w:customStyle="1" w:styleId="18">
    <w:name w:val="Обычный1"/>
    <w:uiPriority w:val="99"/>
    <w:qFormat/>
    <w:rsid w:val="00A27DF6"/>
    <w:pPr>
      <w:suppressAutoHyphens/>
      <w:contextualSpacing/>
    </w:pPr>
    <w:rPr>
      <w:sz w:val="24"/>
      <w:lang w:eastAsia="ar-SA"/>
    </w:rPr>
  </w:style>
  <w:style w:type="paragraph" w:customStyle="1" w:styleId="212">
    <w:name w:val="Основной текст с отступом 212"/>
    <w:basedOn w:val="a1"/>
    <w:uiPriority w:val="99"/>
    <w:qFormat/>
    <w:rsid w:val="00A27DF6"/>
    <w:pPr>
      <w:widowControl w:val="0"/>
      <w:ind w:firstLine="567"/>
      <w:contextualSpacing/>
      <w:jc w:val="both"/>
    </w:pPr>
    <w:rPr>
      <w:rFonts w:eastAsia="Calibri"/>
      <w:color w:val="000000"/>
      <w:sz w:val="28"/>
      <w:szCs w:val="24"/>
      <w:lang w:eastAsia="ar-SA"/>
    </w:rPr>
  </w:style>
  <w:style w:type="character" w:customStyle="1" w:styleId="affc">
    <w:name w:val="Татьяна Знак Знак"/>
    <w:link w:val="affd"/>
    <w:uiPriority w:val="99"/>
    <w:locked/>
    <w:rsid w:val="00A27DF6"/>
    <w:rPr>
      <w:sz w:val="24"/>
    </w:rPr>
  </w:style>
  <w:style w:type="paragraph" w:customStyle="1" w:styleId="affd">
    <w:name w:val="Татьяна Знак"/>
    <w:basedOn w:val="a1"/>
    <w:link w:val="affc"/>
    <w:autoRedefine/>
    <w:uiPriority w:val="99"/>
    <w:qFormat/>
    <w:rsid w:val="00A27DF6"/>
    <w:pPr>
      <w:spacing w:line="312" w:lineRule="auto"/>
      <w:contextualSpacing/>
      <w:jc w:val="both"/>
    </w:pPr>
    <w:rPr>
      <w:sz w:val="24"/>
    </w:rPr>
  </w:style>
  <w:style w:type="paragraph" w:customStyle="1" w:styleId="affe">
    <w:name w:val="Татьяна"/>
    <w:basedOn w:val="a1"/>
    <w:autoRedefine/>
    <w:uiPriority w:val="99"/>
    <w:qFormat/>
    <w:rsid w:val="00A27DF6"/>
    <w:pPr>
      <w:spacing w:before="240" w:after="240" w:line="312" w:lineRule="auto"/>
      <w:ind w:firstLine="709"/>
      <w:contextualSpacing/>
      <w:jc w:val="both"/>
    </w:pPr>
    <w:rPr>
      <w:rFonts w:eastAsia="Calibri"/>
      <w:bCs/>
      <w:color w:val="000000"/>
      <w:sz w:val="24"/>
      <w:szCs w:val="24"/>
    </w:rPr>
  </w:style>
  <w:style w:type="paragraph" w:customStyle="1" w:styleId="afff">
    <w:name w:val="название таблицы"/>
    <w:basedOn w:val="a1"/>
    <w:next w:val="a1"/>
    <w:autoRedefine/>
    <w:uiPriority w:val="99"/>
    <w:qFormat/>
    <w:rsid w:val="00A27DF6"/>
    <w:pPr>
      <w:contextualSpacing/>
      <w:jc w:val="center"/>
    </w:pPr>
    <w:rPr>
      <w:rFonts w:eastAsia="Calibri"/>
      <w:b/>
      <w:bCs/>
      <w:color w:val="000000"/>
      <w:sz w:val="24"/>
      <w:szCs w:val="24"/>
    </w:rPr>
  </w:style>
  <w:style w:type="paragraph" w:customStyle="1" w:styleId="bodytext">
    <w:name w:val="bodytext"/>
    <w:basedOn w:val="a1"/>
    <w:uiPriority w:val="99"/>
    <w:qFormat/>
    <w:rsid w:val="00A27DF6"/>
    <w:pPr>
      <w:ind w:right="150"/>
      <w:contextualSpacing/>
    </w:pPr>
    <w:rPr>
      <w:rFonts w:eastAsia="Calibri"/>
      <w:color w:val="949494"/>
      <w:sz w:val="24"/>
      <w:szCs w:val="24"/>
    </w:rPr>
  </w:style>
  <w:style w:type="paragraph" w:customStyle="1" w:styleId="text">
    <w:name w:val="text"/>
    <w:basedOn w:val="a1"/>
    <w:uiPriority w:val="99"/>
    <w:qFormat/>
    <w:rsid w:val="00A27DF6"/>
    <w:pPr>
      <w:spacing w:after="200" w:line="280" w:lineRule="exact"/>
      <w:contextualSpacing/>
      <w:jc w:val="both"/>
    </w:pPr>
    <w:rPr>
      <w:rFonts w:eastAsia="Calibri" w:cs="Mangal"/>
      <w:color w:val="000000"/>
      <w:sz w:val="24"/>
      <w:szCs w:val="24"/>
      <w:lang w:val="en-GB" w:bidi="hi-IN"/>
    </w:rPr>
  </w:style>
  <w:style w:type="paragraph" w:customStyle="1" w:styleId="FR1">
    <w:name w:val="FR1"/>
    <w:uiPriority w:val="99"/>
    <w:qFormat/>
    <w:rsid w:val="00A27DF6"/>
    <w:pPr>
      <w:widowControl w:val="0"/>
      <w:autoSpaceDE w:val="0"/>
      <w:autoSpaceDN w:val="0"/>
      <w:adjustRightInd w:val="0"/>
      <w:ind w:left="2120"/>
      <w:contextualSpacing/>
    </w:pPr>
    <w:rPr>
      <w:b/>
      <w:bCs/>
      <w:sz w:val="32"/>
      <w:szCs w:val="32"/>
    </w:rPr>
  </w:style>
  <w:style w:type="paragraph" w:customStyle="1" w:styleId="FR2">
    <w:name w:val="FR2"/>
    <w:uiPriority w:val="99"/>
    <w:qFormat/>
    <w:rsid w:val="00A27DF6"/>
    <w:pPr>
      <w:widowControl w:val="0"/>
      <w:autoSpaceDE w:val="0"/>
      <w:autoSpaceDN w:val="0"/>
      <w:adjustRightInd w:val="0"/>
      <w:ind w:left="3240"/>
      <w:contextualSpacing/>
    </w:pPr>
    <w:rPr>
      <w:rFonts w:ascii="Arial" w:hAnsi="Arial" w:cs="Arial"/>
      <w:sz w:val="12"/>
      <w:szCs w:val="12"/>
    </w:rPr>
  </w:style>
  <w:style w:type="paragraph" w:customStyle="1" w:styleId="txt">
    <w:name w:val="txt"/>
    <w:basedOn w:val="a1"/>
    <w:uiPriority w:val="99"/>
    <w:qFormat/>
    <w:rsid w:val="00A27DF6"/>
    <w:pPr>
      <w:spacing w:before="100" w:beforeAutospacing="1" w:after="100" w:afterAutospacing="1" w:line="240" w:lineRule="atLeast"/>
      <w:contextualSpacing/>
    </w:pPr>
    <w:rPr>
      <w:rFonts w:ascii="Arial" w:eastAsia="Calibri" w:hAnsi="Arial" w:cs="Arial"/>
      <w:color w:val="000000"/>
      <w:sz w:val="21"/>
      <w:szCs w:val="21"/>
    </w:rPr>
  </w:style>
  <w:style w:type="paragraph" w:customStyle="1" w:styleId="bodytext1">
    <w:name w:val="bodytext1"/>
    <w:basedOn w:val="a1"/>
    <w:uiPriority w:val="99"/>
    <w:qFormat/>
    <w:rsid w:val="00A27DF6"/>
    <w:pPr>
      <w:spacing w:after="143" w:line="285" w:lineRule="atLeast"/>
      <w:contextualSpacing/>
    </w:pPr>
    <w:rPr>
      <w:rFonts w:eastAsia="Calibri"/>
      <w:color w:val="000000"/>
      <w:sz w:val="24"/>
      <w:szCs w:val="24"/>
    </w:rPr>
  </w:style>
  <w:style w:type="paragraph" w:customStyle="1" w:styleId="FR4">
    <w:name w:val="FR4"/>
    <w:uiPriority w:val="99"/>
    <w:qFormat/>
    <w:rsid w:val="00A27DF6"/>
    <w:pPr>
      <w:widowControl w:val="0"/>
      <w:overflowPunct w:val="0"/>
      <w:autoSpaceDE w:val="0"/>
      <w:autoSpaceDN w:val="0"/>
      <w:adjustRightInd w:val="0"/>
      <w:contextualSpacing/>
    </w:pPr>
    <w:rPr>
      <w:sz w:val="16"/>
    </w:rPr>
  </w:style>
  <w:style w:type="paragraph" w:customStyle="1" w:styleId="19">
    <w:name w:val="Знак1 Знак Знак"/>
    <w:basedOn w:val="a1"/>
    <w:uiPriority w:val="99"/>
    <w:qFormat/>
    <w:rsid w:val="00A27DF6"/>
    <w:pPr>
      <w:contextualSpacing/>
    </w:pPr>
    <w:rPr>
      <w:rFonts w:ascii="Verdana" w:eastAsia="Calibri" w:hAnsi="Verdana" w:cs="Verdana"/>
      <w:color w:val="000000"/>
      <w:sz w:val="24"/>
      <w:szCs w:val="24"/>
      <w:lang w:val="en-US" w:eastAsia="en-US"/>
    </w:rPr>
  </w:style>
  <w:style w:type="paragraph" w:customStyle="1" w:styleId="2110">
    <w:name w:val="Знак2 Знак Знак1 Знак1 Знак Знак Знак Знак Знак Знак Знак Знак Знак Знак Знак Знак Знак Знак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1KGK9">
    <w:name w:val="1KG=K9"/>
    <w:uiPriority w:val="99"/>
    <w:qFormat/>
    <w:rsid w:val="00A27DF6"/>
    <w:pPr>
      <w:autoSpaceDE w:val="0"/>
      <w:autoSpaceDN w:val="0"/>
      <w:adjustRightInd w:val="0"/>
      <w:contextualSpacing/>
    </w:pPr>
    <w:rPr>
      <w:rFonts w:ascii="MS Sans Serif" w:hAnsi="MS Sans Serif"/>
      <w:szCs w:val="24"/>
    </w:rPr>
  </w:style>
  <w:style w:type="paragraph" w:customStyle="1" w:styleId="BodyTextIndent22">
    <w:name w:val="Body Text Indent 22"/>
    <w:basedOn w:val="a1"/>
    <w:uiPriority w:val="99"/>
    <w:qFormat/>
    <w:rsid w:val="00A27DF6"/>
    <w:pPr>
      <w:widowControl w:val="0"/>
      <w:ind w:firstLine="567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26">
    <w:name w:val="Знак Знак2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afff0">
    <w:name w:val="Содержимое таблицы"/>
    <w:basedOn w:val="a1"/>
    <w:uiPriority w:val="99"/>
    <w:qFormat/>
    <w:rsid w:val="00A27DF6"/>
    <w:pPr>
      <w:widowControl w:val="0"/>
      <w:suppressLineNumbers/>
      <w:suppressAutoHyphens/>
      <w:contextualSpacing/>
    </w:pPr>
    <w:rPr>
      <w:rFonts w:eastAsia="Calibri"/>
      <w:color w:val="000000"/>
      <w:kern w:val="2"/>
      <w:sz w:val="24"/>
      <w:szCs w:val="24"/>
    </w:rPr>
  </w:style>
  <w:style w:type="paragraph" w:customStyle="1" w:styleId="Style1">
    <w:name w:val="Style1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22" w:lineRule="exact"/>
      <w:ind w:firstLine="696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Style2">
    <w:name w:val="Style2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22" w:lineRule="exact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Style3">
    <w:name w:val="Style3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22" w:lineRule="exact"/>
      <w:ind w:firstLine="1474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Style5">
    <w:name w:val="Style5"/>
    <w:basedOn w:val="a1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eastAsia="Calibri"/>
      <w:color w:val="000000"/>
      <w:sz w:val="24"/>
      <w:szCs w:val="24"/>
    </w:rPr>
  </w:style>
  <w:style w:type="paragraph" w:customStyle="1" w:styleId="Style6">
    <w:name w:val="Style6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22" w:lineRule="exact"/>
      <w:contextualSpacing/>
      <w:jc w:val="right"/>
    </w:pPr>
    <w:rPr>
      <w:rFonts w:eastAsia="Calibri"/>
      <w:color w:val="000000"/>
      <w:sz w:val="24"/>
      <w:szCs w:val="24"/>
    </w:rPr>
  </w:style>
  <w:style w:type="paragraph" w:customStyle="1" w:styleId="Style7">
    <w:name w:val="Style7"/>
    <w:basedOn w:val="a1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eastAsia="Calibri"/>
      <w:color w:val="000000"/>
      <w:sz w:val="24"/>
      <w:szCs w:val="24"/>
    </w:rPr>
  </w:style>
  <w:style w:type="paragraph" w:customStyle="1" w:styleId="Style4">
    <w:name w:val="Style4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22" w:lineRule="exact"/>
      <w:ind w:firstLine="701"/>
      <w:contextualSpacing/>
    </w:pPr>
    <w:rPr>
      <w:rFonts w:eastAsia="Calibri"/>
      <w:color w:val="000000"/>
      <w:sz w:val="24"/>
      <w:szCs w:val="24"/>
    </w:rPr>
  </w:style>
  <w:style w:type="paragraph" w:customStyle="1" w:styleId="330">
    <w:name w:val="Основной текст с отступом 33"/>
    <w:basedOn w:val="a1"/>
    <w:uiPriority w:val="99"/>
    <w:qFormat/>
    <w:rsid w:val="00A27DF6"/>
    <w:pPr>
      <w:suppressAutoHyphens/>
      <w:spacing w:line="360" w:lineRule="auto"/>
      <w:ind w:firstLine="851"/>
      <w:contextualSpacing/>
      <w:jc w:val="both"/>
    </w:pPr>
    <w:rPr>
      <w:rFonts w:eastAsia="Calibri"/>
      <w:color w:val="000000"/>
      <w:sz w:val="24"/>
      <w:szCs w:val="24"/>
      <w:lang w:eastAsia="ar-SA"/>
    </w:rPr>
  </w:style>
  <w:style w:type="paragraph" w:customStyle="1" w:styleId="ee1">
    <w:name w:val="загола'eeвок 1"/>
    <w:basedOn w:val="a1"/>
    <w:next w:val="a1"/>
    <w:uiPriority w:val="99"/>
    <w:qFormat/>
    <w:rsid w:val="00A27DF6"/>
    <w:pPr>
      <w:keepNext/>
      <w:widowControl w:val="0"/>
      <w:contextualSpacing/>
      <w:jc w:val="center"/>
    </w:pPr>
    <w:rPr>
      <w:rFonts w:eastAsia="Calibri"/>
      <w:color w:val="000000"/>
      <w:sz w:val="24"/>
      <w:szCs w:val="24"/>
    </w:rPr>
  </w:style>
  <w:style w:type="paragraph" w:customStyle="1" w:styleId="bt">
    <w:name w:val="Основной текст.bt.Основной текст Знак"/>
    <w:basedOn w:val="a1"/>
    <w:uiPriority w:val="99"/>
    <w:qFormat/>
    <w:rsid w:val="00A27DF6"/>
    <w:pPr>
      <w:spacing w:after="120"/>
      <w:contextualSpacing/>
    </w:pPr>
    <w:rPr>
      <w:rFonts w:eastAsia="Calibri"/>
      <w:color w:val="000000"/>
      <w:sz w:val="24"/>
      <w:szCs w:val="24"/>
    </w:rPr>
  </w:style>
  <w:style w:type="paragraph" w:customStyle="1" w:styleId="130">
    <w:name w:val="Знак13"/>
    <w:basedOn w:val="a1"/>
    <w:autoRedefine/>
    <w:uiPriority w:val="99"/>
    <w:qFormat/>
    <w:rsid w:val="00A27DF6"/>
    <w:pPr>
      <w:spacing w:after="160" w:line="240" w:lineRule="exact"/>
      <w:contextualSpacing/>
    </w:pPr>
    <w:rPr>
      <w:rFonts w:eastAsia="Calibri"/>
      <w:color w:val="000000"/>
      <w:sz w:val="28"/>
      <w:szCs w:val="28"/>
      <w:lang w:val="en-US" w:eastAsia="en-US"/>
    </w:rPr>
  </w:style>
  <w:style w:type="paragraph" w:customStyle="1" w:styleId="13-1">
    <w:name w:val="Стиль13-1"/>
    <w:basedOn w:val="a1"/>
    <w:uiPriority w:val="99"/>
    <w:qFormat/>
    <w:rsid w:val="00A27DF6"/>
    <w:pPr>
      <w:widowControl w:val="0"/>
      <w:autoSpaceDE w:val="0"/>
      <w:autoSpaceDN w:val="0"/>
      <w:adjustRightInd w:val="0"/>
      <w:ind w:firstLine="709"/>
      <w:contextualSpacing/>
      <w:jc w:val="both"/>
    </w:pPr>
    <w:rPr>
      <w:rFonts w:eastAsia="Calibri"/>
      <w:color w:val="000000"/>
      <w:sz w:val="26"/>
      <w:szCs w:val="24"/>
    </w:rPr>
  </w:style>
  <w:style w:type="paragraph" w:customStyle="1" w:styleId="ConsPlusNormal">
    <w:name w:val="ConsPlusNormal"/>
    <w:qFormat/>
    <w:rsid w:val="00A27DF6"/>
    <w:pPr>
      <w:widowControl w:val="0"/>
      <w:autoSpaceDE w:val="0"/>
      <w:autoSpaceDN w:val="0"/>
      <w:adjustRightInd w:val="0"/>
      <w:ind w:firstLine="720"/>
      <w:contextualSpacing/>
    </w:pPr>
    <w:rPr>
      <w:rFonts w:ascii="Arial" w:hAnsi="Arial" w:cs="Arial"/>
    </w:rPr>
  </w:style>
  <w:style w:type="paragraph" w:customStyle="1" w:styleId="afff1">
    <w:name w:val="Текст в заданном формате"/>
    <w:basedOn w:val="a1"/>
    <w:uiPriority w:val="99"/>
    <w:qFormat/>
    <w:rsid w:val="00A27DF6"/>
    <w:pPr>
      <w:widowControl w:val="0"/>
      <w:suppressAutoHyphens/>
      <w:contextualSpacing/>
    </w:pPr>
    <w:rPr>
      <w:rFonts w:ascii="Courier New" w:eastAsia="Calibri" w:hAnsi="Courier New" w:cs="Courier New"/>
      <w:color w:val="000000"/>
      <w:kern w:val="2"/>
      <w:sz w:val="24"/>
      <w:szCs w:val="24"/>
    </w:rPr>
  </w:style>
  <w:style w:type="paragraph" w:customStyle="1" w:styleId="120">
    <w:name w:val="Обычный12"/>
    <w:uiPriority w:val="99"/>
    <w:qFormat/>
    <w:rsid w:val="00A27DF6"/>
    <w:pPr>
      <w:spacing w:after="200" w:line="276" w:lineRule="auto"/>
      <w:contextualSpacing/>
    </w:pPr>
    <w:rPr>
      <w:rFonts w:ascii="Courier New" w:hAnsi="Courier New"/>
      <w:sz w:val="22"/>
      <w:szCs w:val="22"/>
    </w:rPr>
  </w:style>
  <w:style w:type="paragraph" w:customStyle="1" w:styleId="afff2">
    <w:name w:val="Основной"/>
    <w:basedOn w:val="a1"/>
    <w:uiPriority w:val="99"/>
    <w:qFormat/>
    <w:rsid w:val="00A27DF6"/>
    <w:pPr>
      <w:spacing w:before="120"/>
      <w:ind w:firstLine="720"/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ConsPlusNonformat">
    <w:name w:val="ConsPlusNonformat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ascii="Courier New" w:hAnsi="Courier New" w:cs="Courier New"/>
    </w:rPr>
  </w:style>
  <w:style w:type="paragraph" w:customStyle="1" w:styleId="1a">
    <w:name w:val="Название объекта1"/>
    <w:basedOn w:val="a1"/>
    <w:uiPriority w:val="99"/>
    <w:qFormat/>
    <w:rsid w:val="00A27DF6"/>
    <w:pPr>
      <w:contextualSpacing/>
      <w:jc w:val="center"/>
    </w:pPr>
    <w:rPr>
      <w:rFonts w:eastAsia="Calibri"/>
      <w:color w:val="000000"/>
      <w:sz w:val="36"/>
      <w:szCs w:val="24"/>
      <w:lang w:eastAsia="ar-SA"/>
    </w:rPr>
  </w:style>
  <w:style w:type="paragraph" w:customStyle="1" w:styleId="afff3">
    <w:name w:val="Знак Знак Знак Знак Знак Знак Знак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Default">
    <w:name w:val="Default"/>
    <w:qFormat/>
    <w:rsid w:val="00A27DF6"/>
    <w:pPr>
      <w:autoSpaceDE w:val="0"/>
      <w:autoSpaceDN w:val="0"/>
      <w:adjustRightInd w:val="0"/>
      <w:contextualSpacing/>
    </w:pPr>
    <w:rPr>
      <w:rFonts w:ascii="Calibri" w:hAnsi="Calibri" w:cs="Calibri"/>
      <w:color w:val="000000"/>
      <w:sz w:val="24"/>
      <w:szCs w:val="24"/>
    </w:rPr>
  </w:style>
  <w:style w:type="paragraph" w:customStyle="1" w:styleId="fn2r">
    <w:name w:val="fn2r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rtejustify">
    <w:name w:val="rtejustify"/>
    <w:basedOn w:val="a1"/>
    <w:uiPriority w:val="99"/>
    <w:qFormat/>
    <w:rsid w:val="00A27DF6"/>
    <w:pPr>
      <w:spacing w:before="240" w:after="240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a">
    <w:name w:val="Список с кружком"/>
    <w:basedOn w:val="a1"/>
    <w:uiPriority w:val="99"/>
    <w:qFormat/>
    <w:rsid w:val="00A27DF6"/>
    <w:pPr>
      <w:numPr>
        <w:numId w:val="21"/>
      </w:numPr>
      <w:contextualSpacing/>
    </w:pPr>
    <w:rPr>
      <w:rFonts w:eastAsia="Calibri"/>
      <w:color w:val="000000"/>
      <w:sz w:val="24"/>
      <w:szCs w:val="24"/>
    </w:rPr>
  </w:style>
  <w:style w:type="paragraph" w:customStyle="1" w:styleId="27">
    <w:name w:val="Обычный2"/>
    <w:uiPriority w:val="99"/>
    <w:qFormat/>
    <w:rsid w:val="00A27DF6"/>
    <w:pPr>
      <w:contextualSpacing/>
    </w:pPr>
  </w:style>
  <w:style w:type="paragraph" w:customStyle="1" w:styleId="afff4">
    <w:name w:val="a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42">
    <w:name w:val="Заголовок4"/>
    <w:aliases w:val="BIKITI"/>
    <w:uiPriority w:val="99"/>
    <w:qFormat/>
    <w:rsid w:val="00A27DF6"/>
    <w:pPr>
      <w:autoSpaceDE w:val="0"/>
      <w:autoSpaceDN w:val="0"/>
      <w:adjustRightInd w:val="0"/>
      <w:spacing w:after="57" w:line="240" w:lineRule="atLeast"/>
      <w:ind w:left="283"/>
      <w:contextualSpacing/>
    </w:pPr>
    <w:rPr>
      <w:rFonts w:ascii="BalticaCTT" w:hAnsi="BalticaCTT" w:cs="BalticaCTT"/>
      <w:b/>
      <w:bCs/>
      <w:color w:val="000000"/>
      <w:sz w:val="22"/>
      <w:szCs w:val="22"/>
    </w:rPr>
  </w:style>
  <w:style w:type="paragraph" w:customStyle="1" w:styleId="14125">
    <w:name w:val="Стиль 14 пт Первая строка:  125 см"/>
    <w:basedOn w:val="a1"/>
    <w:uiPriority w:val="99"/>
    <w:qFormat/>
    <w:rsid w:val="00A27DF6"/>
    <w:pPr>
      <w:ind w:firstLine="709"/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afff5">
    <w:name w:val="Чиновничий"/>
    <w:basedOn w:val="a1"/>
    <w:autoRedefine/>
    <w:uiPriority w:val="99"/>
    <w:qFormat/>
    <w:rsid w:val="00A27DF6"/>
    <w:pPr>
      <w:widowControl w:val="0"/>
      <w:snapToGrid w:val="0"/>
      <w:spacing w:line="300" w:lineRule="exact"/>
      <w:ind w:firstLine="709"/>
      <w:contextualSpacing/>
      <w:jc w:val="both"/>
    </w:pPr>
    <w:rPr>
      <w:rFonts w:eastAsia="Calibri"/>
      <w:color w:val="000000"/>
      <w:sz w:val="26"/>
      <w:szCs w:val="26"/>
    </w:rPr>
  </w:style>
  <w:style w:type="paragraph" w:customStyle="1" w:styleId="subhead">
    <w:name w:val="subhead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color w:val="000000"/>
      <w:sz w:val="30"/>
      <w:szCs w:val="30"/>
    </w:rPr>
  </w:style>
  <w:style w:type="paragraph" w:customStyle="1" w:styleId="1b">
    <w:name w:val="Список1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i/>
      <w:iCs/>
      <w:color w:val="000000"/>
      <w:sz w:val="26"/>
      <w:szCs w:val="26"/>
    </w:rPr>
  </w:style>
  <w:style w:type="paragraph" w:customStyle="1" w:styleId="showtableon">
    <w:name w:val="showtableon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b/>
      <w:bCs/>
      <w:color w:val="FF0000"/>
      <w:sz w:val="24"/>
      <w:szCs w:val="24"/>
    </w:rPr>
  </w:style>
  <w:style w:type="paragraph" w:customStyle="1" w:styleId="showtableout">
    <w:name w:val="showtableout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FF"/>
      <w:sz w:val="24"/>
      <w:szCs w:val="24"/>
    </w:rPr>
  </w:style>
  <w:style w:type="paragraph" w:customStyle="1" w:styleId="rubrtbl">
    <w:name w:val="rubrtbl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color w:val="000000"/>
      <w:sz w:val="30"/>
      <w:szCs w:val="30"/>
    </w:rPr>
  </w:style>
  <w:style w:type="paragraph" w:customStyle="1" w:styleId="select">
    <w:name w:val="select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6"/>
      <w:szCs w:val="16"/>
    </w:rPr>
  </w:style>
  <w:style w:type="paragraph" w:customStyle="1" w:styleId="selectpok">
    <w:name w:val="selectpok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selectcell">
    <w:name w:val="selectcell"/>
    <w:basedOn w:val="a1"/>
    <w:uiPriority w:val="99"/>
    <w:qFormat/>
    <w:rsid w:val="00A27DF6"/>
    <w:pPr>
      <w:shd w:val="clear" w:color="auto" w:fill="A0ABC6"/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selectword">
    <w:name w:val="selectword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6"/>
      <w:szCs w:val="16"/>
    </w:rPr>
  </w:style>
  <w:style w:type="paragraph" w:customStyle="1" w:styleId="selectformat">
    <w:name w:val="selectformat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color w:val="000000"/>
      <w:sz w:val="16"/>
      <w:szCs w:val="16"/>
    </w:rPr>
  </w:style>
  <w:style w:type="paragraph" w:customStyle="1" w:styleId="showtblcell">
    <w:name w:val="showtblcell"/>
    <w:basedOn w:val="a1"/>
    <w:uiPriority w:val="99"/>
    <w:qFormat/>
    <w:rsid w:val="00A27DF6"/>
    <w:pPr>
      <w:shd w:val="clear" w:color="auto" w:fill="A0ABC6"/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kolichestvo">
    <w:name w:val="kolichestvo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6"/>
      <w:szCs w:val="16"/>
    </w:rPr>
  </w:style>
  <w:style w:type="paragraph" w:customStyle="1" w:styleId="koltitle">
    <w:name w:val="koltitle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b/>
      <w:bCs/>
      <w:color w:val="000000"/>
      <w:sz w:val="16"/>
      <w:szCs w:val="16"/>
    </w:rPr>
  </w:style>
  <w:style w:type="paragraph" w:customStyle="1" w:styleId="order">
    <w:name w:val="order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b/>
      <w:bCs/>
      <w:color w:val="000000"/>
      <w:sz w:val="16"/>
      <w:szCs w:val="16"/>
    </w:rPr>
  </w:style>
  <w:style w:type="paragraph" w:customStyle="1" w:styleId="hlpbtnstyle">
    <w:name w:val="hlpbtnstyle"/>
    <w:basedOn w:val="a1"/>
    <w:uiPriority w:val="99"/>
    <w:qFormat/>
    <w:rsid w:val="00A27DF6"/>
    <w:pPr>
      <w:shd w:val="clear" w:color="auto" w:fill="A0ABC6"/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btnstyle">
    <w:name w:val="btnstyle"/>
    <w:basedOn w:val="a1"/>
    <w:uiPriority w:val="99"/>
    <w:qFormat/>
    <w:rsid w:val="00A27DF6"/>
    <w:pPr>
      <w:shd w:val="clear" w:color="auto" w:fill="A0ABC6"/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outtbl">
    <w:name w:val="outtbl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2"/>
      <w:szCs w:val="22"/>
    </w:rPr>
  </w:style>
  <w:style w:type="paragraph" w:customStyle="1" w:styleId="zagtbl">
    <w:name w:val="zagtbl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b/>
      <w:bCs/>
      <w:color w:val="000000"/>
      <w:sz w:val="26"/>
      <w:szCs w:val="26"/>
    </w:rPr>
  </w:style>
  <w:style w:type="paragraph" w:customStyle="1" w:styleId="tblshap">
    <w:name w:val="tblshap"/>
    <w:basedOn w:val="a1"/>
    <w:uiPriority w:val="99"/>
    <w:qFormat/>
    <w:rsid w:val="00A27DF6"/>
    <w:pPr>
      <w:shd w:val="clear" w:color="auto" w:fill="D3D3D3"/>
      <w:spacing w:before="100" w:beforeAutospacing="1" w:after="100" w:afterAutospacing="1"/>
      <w:contextualSpacing/>
    </w:pPr>
    <w:rPr>
      <w:rFonts w:eastAsia="Calibri"/>
      <w:b/>
      <w:bCs/>
      <w:color w:val="000000"/>
      <w:sz w:val="22"/>
      <w:szCs w:val="22"/>
    </w:rPr>
  </w:style>
  <w:style w:type="paragraph" w:customStyle="1" w:styleId="tblbok">
    <w:name w:val="tblbok"/>
    <w:basedOn w:val="a1"/>
    <w:uiPriority w:val="99"/>
    <w:qFormat/>
    <w:rsid w:val="00A27DF6"/>
    <w:pPr>
      <w:shd w:val="clear" w:color="auto" w:fill="D3D3D3"/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selectcellft">
    <w:name w:val="selectcellft"/>
    <w:basedOn w:val="a1"/>
    <w:uiPriority w:val="99"/>
    <w:qFormat/>
    <w:rsid w:val="00A27DF6"/>
    <w:pPr>
      <w:shd w:val="clear" w:color="auto" w:fill="C8CEDD"/>
      <w:spacing w:before="100" w:beforeAutospacing="1" w:after="100" w:afterAutospacing="1"/>
      <w:contextualSpacing/>
    </w:pPr>
    <w:rPr>
      <w:rFonts w:eastAsia="Calibri"/>
      <w:color w:val="000080"/>
      <w:sz w:val="24"/>
      <w:szCs w:val="24"/>
    </w:rPr>
  </w:style>
  <w:style w:type="paragraph" w:customStyle="1" w:styleId="bl0">
    <w:name w:val="bl0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b/>
      <w:bCs/>
      <w:color w:val="000000"/>
      <w:sz w:val="22"/>
      <w:szCs w:val="22"/>
    </w:rPr>
  </w:style>
  <w:style w:type="paragraph" w:customStyle="1" w:styleId="bl1">
    <w:name w:val="bl1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2"/>
      <w:szCs w:val="22"/>
    </w:rPr>
  </w:style>
  <w:style w:type="paragraph" w:customStyle="1" w:styleId="bl2">
    <w:name w:val="bl2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i/>
      <w:iCs/>
      <w:color w:val="000000"/>
      <w:sz w:val="22"/>
      <w:szCs w:val="22"/>
    </w:rPr>
  </w:style>
  <w:style w:type="paragraph" w:customStyle="1" w:styleId="bl3">
    <w:name w:val="bl3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bl4">
    <w:name w:val="bl4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bl5">
    <w:name w:val="bl5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bl6">
    <w:name w:val="bl6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bl7">
    <w:name w:val="bl7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bl8">
    <w:name w:val="bl8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19"/>
      <w:szCs w:val="19"/>
    </w:rPr>
  </w:style>
  <w:style w:type="paragraph" w:customStyle="1" w:styleId="no-main-section">
    <w:name w:val="no-main-section"/>
    <w:basedOn w:val="a1"/>
    <w:uiPriority w:val="99"/>
    <w:qFormat/>
    <w:rsid w:val="00A27DF6"/>
    <w:pPr>
      <w:spacing w:before="100" w:beforeAutospacing="1" w:after="100" w:afterAutospacing="1" w:line="374" w:lineRule="atLeast"/>
      <w:contextualSpacing/>
    </w:pPr>
    <w:rPr>
      <w:rFonts w:ascii="Arial" w:eastAsia="Calibri" w:hAnsi="Arial" w:cs="Arial"/>
      <w:color w:val="636363"/>
      <w:sz w:val="32"/>
      <w:szCs w:val="32"/>
    </w:rPr>
  </w:style>
  <w:style w:type="character" w:customStyle="1" w:styleId="afff6">
    <w:name w:val="Основной текст_"/>
    <w:link w:val="1c"/>
    <w:locked/>
    <w:rsid w:val="00A27DF6"/>
    <w:rPr>
      <w:spacing w:val="2"/>
      <w:sz w:val="26"/>
      <w:shd w:val="clear" w:color="auto" w:fill="FFFFFF"/>
    </w:rPr>
  </w:style>
  <w:style w:type="paragraph" w:customStyle="1" w:styleId="1c">
    <w:name w:val="Основной текст1"/>
    <w:basedOn w:val="a1"/>
    <w:link w:val="afff6"/>
    <w:qFormat/>
    <w:rsid w:val="00A27DF6"/>
    <w:pPr>
      <w:shd w:val="clear" w:color="auto" w:fill="FFFFFF"/>
      <w:spacing w:before="300" w:after="300" w:line="334" w:lineRule="exact"/>
      <w:ind w:hanging="420"/>
      <w:contextualSpacing/>
      <w:jc w:val="center"/>
    </w:pPr>
    <w:rPr>
      <w:spacing w:val="2"/>
      <w:sz w:val="26"/>
    </w:rPr>
  </w:style>
  <w:style w:type="paragraph" w:customStyle="1" w:styleId="afff7">
    <w:name w:val="Прижатый влево"/>
    <w:basedOn w:val="a1"/>
    <w:next w:val="a1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aaieiaieiino">
    <w:name w:val="Caaieiaie_iino"/>
    <w:basedOn w:val="a1"/>
    <w:uiPriority w:val="99"/>
    <w:qFormat/>
    <w:rsid w:val="00A27DF6"/>
    <w:pPr>
      <w:tabs>
        <w:tab w:val="left" w:pos="10440"/>
      </w:tabs>
      <w:ind w:left="720" w:right="4627"/>
      <w:contextualSpacing/>
    </w:pPr>
    <w:rPr>
      <w:rFonts w:eastAsia="Calibri"/>
      <w:color w:val="000000"/>
      <w:sz w:val="26"/>
      <w:szCs w:val="24"/>
    </w:rPr>
  </w:style>
  <w:style w:type="paragraph" w:customStyle="1" w:styleId="afff8">
    <w:name w:val="Нормальный (таблица)"/>
    <w:basedOn w:val="a1"/>
    <w:next w:val="a1"/>
    <w:uiPriority w:val="99"/>
    <w:qFormat/>
    <w:rsid w:val="00A27DF6"/>
    <w:pPr>
      <w:autoSpaceDE w:val="0"/>
      <w:autoSpaceDN w:val="0"/>
      <w:adjustRightInd w:val="0"/>
      <w:contextualSpacing/>
      <w:jc w:val="both"/>
    </w:pPr>
    <w:rPr>
      <w:rFonts w:ascii="Arial" w:eastAsia="Calibri" w:hAnsi="Arial"/>
      <w:color w:val="000000"/>
      <w:sz w:val="24"/>
      <w:szCs w:val="24"/>
    </w:rPr>
  </w:style>
  <w:style w:type="paragraph" w:customStyle="1" w:styleId="1d">
    <w:name w:val="Абзац списка1"/>
    <w:basedOn w:val="a1"/>
    <w:qFormat/>
    <w:rsid w:val="00A27DF6"/>
    <w:pPr>
      <w:ind w:left="720"/>
      <w:contextualSpacing/>
    </w:pPr>
    <w:rPr>
      <w:rFonts w:eastAsia="Calibri"/>
      <w:color w:val="000000"/>
      <w:sz w:val="28"/>
      <w:szCs w:val="24"/>
    </w:rPr>
  </w:style>
  <w:style w:type="character" w:customStyle="1" w:styleId="110">
    <w:name w:val="Основной текст (11)_"/>
    <w:link w:val="111"/>
    <w:uiPriority w:val="99"/>
    <w:locked/>
    <w:rsid w:val="00A27DF6"/>
    <w:rPr>
      <w:sz w:val="26"/>
      <w:shd w:val="clear" w:color="auto" w:fill="FFFFFF"/>
    </w:rPr>
  </w:style>
  <w:style w:type="paragraph" w:customStyle="1" w:styleId="111">
    <w:name w:val="Основной текст (11)"/>
    <w:basedOn w:val="a1"/>
    <w:link w:val="110"/>
    <w:uiPriority w:val="99"/>
    <w:qFormat/>
    <w:rsid w:val="00A27DF6"/>
    <w:pPr>
      <w:shd w:val="clear" w:color="auto" w:fill="FFFFFF"/>
      <w:spacing w:before="360" w:after="60" w:line="240" w:lineRule="atLeast"/>
      <w:ind w:firstLine="709"/>
      <w:contextualSpacing/>
      <w:jc w:val="both"/>
    </w:pPr>
    <w:rPr>
      <w:sz w:val="26"/>
    </w:rPr>
  </w:style>
  <w:style w:type="character" w:customStyle="1" w:styleId="28">
    <w:name w:val="Заголовок №2_"/>
    <w:link w:val="29"/>
    <w:uiPriority w:val="99"/>
    <w:locked/>
    <w:rsid w:val="00A27DF6"/>
    <w:rPr>
      <w:spacing w:val="1"/>
      <w:sz w:val="25"/>
      <w:shd w:val="clear" w:color="auto" w:fill="FFFFFF"/>
    </w:rPr>
  </w:style>
  <w:style w:type="paragraph" w:customStyle="1" w:styleId="29">
    <w:name w:val="Заголовок №2"/>
    <w:basedOn w:val="a1"/>
    <w:link w:val="28"/>
    <w:uiPriority w:val="99"/>
    <w:qFormat/>
    <w:rsid w:val="00A27DF6"/>
    <w:pPr>
      <w:shd w:val="clear" w:color="auto" w:fill="FFFFFF"/>
      <w:spacing w:line="322" w:lineRule="exact"/>
      <w:ind w:firstLine="700"/>
      <w:contextualSpacing/>
      <w:jc w:val="both"/>
      <w:outlineLvl w:val="1"/>
    </w:pPr>
    <w:rPr>
      <w:spacing w:val="1"/>
      <w:sz w:val="25"/>
    </w:rPr>
  </w:style>
  <w:style w:type="paragraph" w:customStyle="1" w:styleId="52">
    <w:name w:val="Знак5 Знак Знак Знак Знак Знак2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311">
    <w:name w:val="Основной текст с отступом 311"/>
    <w:basedOn w:val="a1"/>
    <w:uiPriority w:val="99"/>
    <w:qFormat/>
    <w:rsid w:val="00A27DF6"/>
    <w:pPr>
      <w:widowControl w:val="0"/>
      <w:spacing w:line="256" w:lineRule="auto"/>
      <w:ind w:right="400" w:firstLine="851"/>
      <w:contextualSpacing/>
      <w:jc w:val="both"/>
    </w:pPr>
    <w:rPr>
      <w:rFonts w:eastAsia="Calibri"/>
      <w:color w:val="000000"/>
      <w:sz w:val="22"/>
      <w:szCs w:val="24"/>
    </w:rPr>
  </w:style>
  <w:style w:type="paragraph" w:customStyle="1" w:styleId="2111">
    <w:name w:val="Основной текст с отступом 211"/>
    <w:basedOn w:val="a1"/>
    <w:uiPriority w:val="99"/>
    <w:qFormat/>
    <w:rsid w:val="00A27DF6"/>
    <w:pPr>
      <w:widowControl w:val="0"/>
      <w:ind w:firstLine="567"/>
      <w:contextualSpacing/>
      <w:jc w:val="both"/>
    </w:pPr>
    <w:rPr>
      <w:rFonts w:eastAsia="Calibri"/>
      <w:color w:val="000000"/>
      <w:sz w:val="28"/>
      <w:szCs w:val="24"/>
      <w:lang w:eastAsia="ar-SA"/>
    </w:rPr>
  </w:style>
  <w:style w:type="paragraph" w:customStyle="1" w:styleId="121">
    <w:name w:val="Знак1 Знак Знак2"/>
    <w:basedOn w:val="a1"/>
    <w:uiPriority w:val="99"/>
    <w:qFormat/>
    <w:rsid w:val="00A27DF6"/>
    <w:pPr>
      <w:contextualSpacing/>
    </w:pPr>
    <w:rPr>
      <w:rFonts w:ascii="Verdana" w:eastAsia="Calibri" w:hAnsi="Verdana" w:cs="Verdana"/>
      <w:color w:val="000000"/>
      <w:sz w:val="24"/>
      <w:szCs w:val="24"/>
      <w:lang w:val="en-US" w:eastAsia="en-US"/>
    </w:rPr>
  </w:style>
  <w:style w:type="paragraph" w:customStyle="1" w:styleId="2112">
    <w:name w:val="Знак2 Знак Знак1 Знак1 Знак Знак Знак Знак Знак Знак Знак Знак Знак Знак Знак Знак Знак Знак2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221">
    <w:name w:val="Знак Знак22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112">
    <w:name w:val="Знак11"/>
    <w:basedOn w:val="a1"/>
    <w:autoRedefine/>
    <w:uiPriority w:val="99"/>
    <w:qFormat/>
    <w:rsid w:val="00A27DF6"/>
    <w:pPr>
      <w:spacing w:after="160" w:line="240" w:lineRule="exact"/>
      <w:contextualSpacing/>
    </w:pPr>
    <w:rPr>
      <w:rFonts w:eastAsia="Calibri"/>
      <w:color w:val="000000"/>
      <w:sz w:val="28"/>
      <w:szCs w:val="28"/>
      <w:lang w:val="en-US" w:eastAsia="en-US"/>
    </w:rPr>
  </w:style>
  <w:style w:type="paragraph" w:customStyle="1" w:styleId="113">
    <w:name w:val="Обычный11"/>
    <w:uiPriority w:val="99"/>
    <w:qFormat/>
    <w:rsid w:val="00A27DF6"/>
    <w:pPr>
      <w:spacing w:after="200" w:line="276" w:lineRule="auto"/>
      <w:contextualSpacing/>
    </w:pPr>
    <w:rPr>
      <w:rFonts w:ascii="Courier New" w:hAnsi="Courier New"/>
      <w:sz w:val="22"/>
      <w:szCs w:val="22"/>
    </w:rPr>
  </w:style>
  <w:style w:type="paragraph" w:customStyle="1" w:styleId="2a">
    <w:name w:val="Знак Знак Знак Знак Знак Знак Знак2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1e">
    <w:name w:val="Без интервала1"/>
    <w:qFormat/>
    <w:rsid w:val="00A27DF6"/>
    <w:pPr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14"/>
    <w:uiPriority w:val="99"/>
    <w:locked/>
    <w:rsid w:val="00A27DF6"/>
    <w:rPr>
      <w:sz w:val="28"/>
    </w:rPr>
  </w:style>
  <w:style w:type="paragraph" w:customStyle="1" w:styleId="114">
    <w:name w:val="Абзац списка11"/>
    <w:basedOn w:val="a1"/>
    <w:link w:val="ListParagraphChar"/>
    <w:uiPriority w:val="99"/>
    <w:qFormat/>
    <w:rsid w:val="00A27DF6"/>
    <w:pPr>
      <w:ind w:left="720"/>
      <w:contextualSpacing/>
    </w:pPr>
    <w:rPr>
      <w:sz w:val="28"/>
    </w:rPr>
  </w:style>
  <w:style w:type="paragraph" w:customStyle="1" w:styleId="ConsPlusCell">
    <w:name w:val="ConsPlusCell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ascii="Calibri" w:hAnsi="Calibri" w:cs="Calibri"/>
      <w:sz w:val="22"/>
      <w:szCs w:val="22"/>
    </w:rPr>
  </w:style>
  <w:style w:type="paragraph" w:customStyle="1" w:styleId="35">
    <w:name w:val="Основной текст3"/>
    <w:basedOn w:val="a1"/>
    <w:qFormat/>
    <w:rsid w:val="00A27DF6"/>
    <w:pPr>
      <w:shd w:val="clear" w:color="auto" w:fill="FFFFFF"/>
      <w:spacing w:line="276" w:lineRule="auto"/>
      <w:ind w:firstLine="567"/>
      <w:contextualSpacing/>
      <w:jc w:val="both"/>
    </w:pPr>
    <w:rPr>
      <w:rFonts w:eastAsia="Calibri"/>
      <w:color w:val="000000"/>
      <w:sz w:val="25"/>
      <w:szCs w:val="25"/>
      <w:lang w:eastAsia="ar-SA"/>
    </w:rPr>
  </w:style>
  <w:style w:type="character" w:customStyle="1" w:styleId="Bodytext2">
    <w:name w:val="Body text (2)_"/>
    <w:link w:val="Bodytext20"/>
    <w:locked/>
    <w:rsid w:val="00A27DF6"/>
    <w:rPr>
      <w:sz w:val="28"/>
      <w:shd w:val="clear" w:color="auto" w:fill="FFFFFF"/>
    </w:rPr>
  </w:style>
  <w:style w:type="paragraph" w:customStyle="1" w:styleId="Bodytext20">
    <w:name w:val="Body text (2)"/>
    <w:basedOn w:val="a1"/>
    <w:link w:val="Bodytext2"/>
    <w:qFormat/>
    <w:rsid w:val="00A27DF6"/>
    <w:pPr>
      <w:widowControl w:val="0"/>
      <w:shd w:val="clear" w:color="auto" w:fill="FFFFFF"/>
      <w:spacing w:line="317" w:lineRule="exact"/>
      <w:ind w:firstLine="600"/>
      <w:contextualSpacing/>
      <w:jc w:val="both"/>
    </w:pPr>
    <w:rPr>
      <w:sz w:val="28"/>
    </w:rPr>
  </w:style>
  <w:style w:type="paragraph" w:customStyle="1" w:styleId="732">
    <w:name w:val="ГОСТ 7.32"/>
    <w:basedOn w:val="a1"/>
    <w:uiPriority w:val="99"/>
    <w:qFormat/>
    <w:rsid w:val="00A27DF6"/>
    <w:pPr>
      <w:spacing w:line="360" w:lineRule="auto"/>
      <w:ind w:firstLine="567"/>
      <w:contextualSpacing/>
      <w:jc w:val="both"/>
    </w:pPr>
    <w:rPr>
      <w:rFonts w:eastAsia="Calibri"/>
      <w:color w:val="000000"/>
      <w:sz w:val="24"/>
      <w:szCs w:val="28"/>
      <w:lang w:eastAsia="en-US"/>
    </w:rPr>
  </w:style>
  <w:style w:type="paragraph" w:customStyle="1" w:styleId="s1">
    <w:name w:val="s_1"/>
    <w:basedOn w:val="a1"/>
    <w:qFormat/>
    <w:rsid w:val="00A27DF6"/>
    <w:pPr>
      <w:ind w:firstLine="720"/>
      <w:contextualSpacing/>
      <w:jc w:val="both"/>
    </w:pPr>
    <w:rPr>
      <w:rFonts w:ascii="Arial" w:eastAsia="Calibri" w:hAnsi="Arial" w:cs="Arial"/>
      <w:color w:val="000000"/>
      <w:sz w:val="26"/>
      <w:szCs w:val="26"/>
    </w:rPr>
  </w:style>
  <w:style w:type="paragraph" w:customStyle="1" w:styleId="BodyTextIndent21">
    <w:name w:val="Body Text Indent 21"/>
    <w:basedOn w:val="a1"/>
    <w:uiPriority w:val="99"/>
    <w:qFormat/>
    <w:rsid w:val="00A27DF6"/>
    <w:pPr>
      <w:ind w:firstLine="709"/>
      <w:contextualSpacing/>
      <w:jc w:val="both"/>
    </w:pPr>
    <w:rPr>
      <w:rFonts w:eastAsia="Calibri"/>
      <w:color w:val="000000"/>
      <w:sz w:val="28"/>
      <w:szCs w:val="24"/>
    </w:rPr>
  </w:style>
  <w:style w:type="paragraph" w:customStyle="1" w:styleId="BodyTextIndent31">
    <w:name w:val="Body Text Indent 31"/>
    <w:basedOn w:val="a1"/>
    <w:uiPriority w:val="99"/>
    <w:qFormat/>
    <w:rsid w:val="00A27DF6"/>
    <w:pPr>
      <w:widowControl w:val="0"/>
      <w:spacing w:line="256" w:lineRule="auto"/>
      <w:ind w:right="400" w:firstLine="851"/>
      <w:contextualSpacing/>
      <w:jc w:val="both"/>
    </w:pPr>
    <w:rPr>
      <w:rFonts w:eastAsia="Calibri"/>
      <w:color w:val="000000"/>
      <w:sz w:val="22"/>
      <w:szCs w:val="24"/>
    </w:rPr>
  </w:style>
  <w:style w:type="paragraph" w:customStyle="1" w:styleId="Normal1">
    <w:name w:val="Normal1"/>
    <w:uiPriority w:val="99"/>
    <w:qFormat/>
    <w:rsid w:val="00A27DF6"/>
    <w:pPr>
      <w:suppressAutoHyphens/>
      <w:contextualSpacing/>
    </w:pPr>
    <w:rPr>
      <w:sz w:val="24"/>
      <w:lang w:eastAsia="ar-SA"/>
    </w:rPr>
  </w:style>
  <w:style w:type="paragraph" w:customStyle="1" w:styleId="122">
    <w:name w:val="Знак12"/>
    <w:basedOn w:val="a1"/>
    <w:autoRedefine/>
    <w:uiPriority w:val="99"/>
    <w:qFormat/>
    <w:rsid w:val="00A27DF6"/>
    <w:pPr>
      <w:spacing w:after="160" w:line="240" w:lineRule="exact"/>
      <w:contextualSpacing/>
    </w:pPr>
    <w:rPr>
      <w:rFonts w:eastAsia="Calibri"/>
      <w:color w:val="000000"/>
      <w:sz w:val="28"/>
      <w:szCs w:val="28"/>
      <w:lang w:val="en-US" w:eastAsia="en-US"/>
    </w:rPr>
  </w:style>
  <w:style w:type="paragraph" w:customStyle="1" w:styleId="115">
    <w:name w:val="Список11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i/>
      <w:iCs/>
      <w:color w:val="000000"/>
      <w:sz w:val="26"/>
      <w:szCs w:val="26"/>
    </w:rPr>
  </w:style>
  <w:style w:type="paragraph" w:customStyle="1" w:styleId="ListParagraph1">
    <w:name w:val="List Paragraph1"/>
    <w:basedOn w:val="a1"/>
    <w:uiPriority w:val="99"/>
    <w:qFormat/>
    <w:rsid w:val="00A27DF6"/>
    <w:pPr>
      <w:ind w:left="720"/>
      <w:contextualSpacing/>
    </w:pPr>
    <w:rPr>
      <w:rFonts w:eastAsia="Calibri"/>
      <w:color w:val="000000"/>
      <w:sz w:val="28"/>
      <w:szCs w:val="24"/>
    </w:rPr>
  </w:style>
  <w:style w:type="paragraph" w:customStyle="1" w:styleId="510">
    <w:name w:val="Знак5 Знак Знак Знак Знак Знак1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116">
    <w:name w:val="Знак1 Знак Знак1"/>
    <w:basedOn w:val="a1"/>
    <w:uiPriority w:val="99"/>
    <w:qFormat/>
    <w:rsid w:val="00A27DF6"/>
    <w:pPr>
      <w:contextualSpacing/>
    </w:pPr>
    <w:rPr>
      <w:rFonts w:ascii="Verdana" w:eastAsia="Calibri" w:hAnsi="Verdana" w:cs="Verdana"/>
      <w:color w:val="000000"/>
      <w:sz w:val="24"/>
      <w:szCs w:val="24"/>
      <w:lang w:val="en-US" w:eastAsia="en-US"/>
    </w:rPr>
  </w:style>
  <w:style w:type="paragraph" w:customStyle="1" w:styleId="21110">
    <w:name w:val="Знак2 Знак Знак1 Знак1 Знак Знак Знак Знак Знак Знак Знак Знак Знак Знак Знак Знак Знак Знак1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214">
    <w:name w:val="Знак Знак21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1f">
    <w:name w:val="Знак Знак Знак Знак Знак Знак Знак1"/>
    <w:basedOn w:val="a1"/>
    <w:uiPriority w:val="99"/>
    <w:qFormat/>
    <w:rsid w:val="00A27DF6"/>
    <w:pPr>
      <w:spacing w:after="160" w:line="240" w:lineRule="exact"/>
      <w:contextualSpacing/>
    </w:pPr>
    <w:rPr>
      <w:rFonts w:ascii="Verdana" w:eastAsia="Calibri" w:hAnsi="Verdana"/>
      <w:color w:val="000000"/>
      <w:sz w:val="24"/>
      <w:szCs w:val="24"/>
      <w:lang w:val="en-US" w:eastAsia="en-US"/>
    </w:rPr>
  </w:style>
  <w:style w:type="paragraph" w:customStyle="1" w:styleId="NoSpacing1">
    <w:name w:val="No Spacing1"/>
    <w:uiPriority w:val="99"/>
    <w:qFormat/>
    <w:rsid w:val="00A27DF6"/>
    <w:pPr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7">
    <w:name w:val="Без интервала11"/>
    <w:uiPriority w:val="99"/>
    <w:qFormat/>
    <w:rsid w:val="00A27DF6"/>
    <w:pPr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0">
    <w:name w:val="style2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Style8">
    <w:name w:val="Style8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276" w:lineRule="exact"/>
      <w:ind w:hanging="346"/>
      <w:contextualSpacing/>
      <w:jc w:val="both"/>
    </w:pPr>
    <w:rPr>
      <w:rFonts w:ascii="Georgia" w:eastAsia="Calibri" w:hAnsi="Georgia"/>
      <w:color w:val="000000"/>
      <w:sz w:val="24"/>
      <w:szCs w:val="24"/>
    </w:rPr>
  </w:style>
  <w:style w:type="paragraph" w:customStyle="1" w:styleId="left">
    <w:name w:val="left"/>
    <w:basedOn w:val="a1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right">
    <w:name w:val="right"/>
    <w:basedOn w:val="a1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2b">
    <w:name w:val="Список2"/>
    <w:basedOn w:val="a1"/>
    <w:uiPriority w:val="99"/>
    <w:qFormat/>
    <w:rsid w:val="00A27DF6"/>
    <w:pPr>
      <w:spacing w:before="100" w:beforeAutospacing="1" w:after="100" w:afterAutospacing="1"/>
      <w:contextualSpacing/>
    </w:pPr>
    <w:rPr>
      <w:rFonts w:ascii="Arial" w:eastAsia="Calibri" w:hAnsi="Arial" w:cs="Arial"/>
      <w:i/>
      <w:iCs/>
      <w:color w:val="000000"/>
      <w:sz w:val="26"/>
      <w:szCs w:val="26"/>
    </w:rPr>
  </w:style>
  <w:style w:type="paragraph" w:customStyle="1" w:styleId="Style15">
    <w:name w:val="Style15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450" w:lineRule="exact"/>
      <w:ind w:firstLine="554"/>
      <w:contextualSpacing/>
      <w:jc w:val="both"/>
    </w:pPr>
    <w:rPr>
      <w:rFonts w:ascii="Microsoft Sans Serif" w:eastAsia="Calibri" w:hAnsi="Microsoft Sans Serif" w:cs="Microsoft Sans Serif"/>
      <w:color w:val="000000"/>
      <w:sz w:val="24"/>
      <w:szCs w:val="24"/>
    </w:rPr>
  </w:style>
  <w:style w:type="paragraph" w:customStyle="1" w:styleId="Style21">
    <w:name w:val="Style21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41" w:lineRule="exact"/>
      <w:ind w:firstLine="542"/>
      <w:contextualSpacing/>
      <w:jc w:val="both"/>
    </w:pPr>
    <w:rPr>
      <w:rFonts w:ascii="Calibri" w:eastAsia="Calibri" w:hAnsi="Calibri"/>
      <w:color w:val="000000"/>
      <w:sz w:val="24"/>
      <w:szCs w:val="24"/>
    </w:rPr>
  </w:style>
  <w:style w:type="paragraph" w:customStyle="1" w:styleId="Style13">
    <w:name w:val="Style13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486" w:lineRule="exact"/>
      <w:ind w:firstLine="706"/>
      <w:contextualSpacing/>
      <w:jc w:val="both"/>
    </w:pPr>
    <w:rPr>
      <w:rFonts w:ascii="Franklin Gothic Medium Cond" w:eastAsia="Calibri" w:hAnsi="Franklin Gothic Medium Cond"/>
      <w:color w:val="000000"/>
      <w:sz w:val="24"/>
      <w:szCs w:val="24"/>
    </w:rPr>
  </w:style>
  <w:style w:type="paragraph" w:customStyle="1" w:styleId="Style14">
    <w:name w:val="Style14"/>
    <w:basedOn w:val="a1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rFonts w:ascii="Franklin Gothic Medium Cond" w:eastAsia="Calibri" w:hAnsi="Franklin Gothic Medium Cond"/>
      <w:color w:val="000000"/>
      <w:sz w:val="24"/>
      <w:szCs w:val="24"/>
    </w:rPr>
  </w:style>
  <w:style w:type="paragraph" w:customStyle="1" w:styleId="36">
    <w:name w:val="Заголовок3"/>
    <w:uiPriority w:val="99"/>
    <w:qFormat/>
    <w:rsid w:val="00A27DF6"/>
    <w:pPr>
      <w:widowControl w:val="0"/>
      <w:autoSpaceDE w:val="0"/>
      <w:autoSpaceDN w:val="0"/>
      <w:adjustRightInd w:val="0"/>
      <w:contextualSpacing/>
    </w:pPr>
    <w:rPr>
      <w:b/>
      <w:bCs/>
      <w:color w:val="000000"/>
      <w:sz w:val="28"/>
      <w:szCs w:val="28"/>
    </w:rPr>
  </w:style>
  <w:style w:type="paragraph" w:customStyle="1" w:styleId="msonormalcxspmiddlecxspmiddle">
    <w:name w:val="msonormalcxspmiddlecxspmiddle"/>
    <w:basedOn w:val="a1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msonormalcxspmiddlecxspmiddlecxsplast">
    <w:name w:val="msonormalcxspmiddlecxspmiddlecxsplast"/>
    <w:basedOn w:val="a1"/>
    <w:qFormat/>
    <w:rsid w:val="00A27DF6"/>
    <w:pPr>
      <w:spacing w:before="100" w:beforeAutospacing="1" w:after="100" w:afterAutospacing="1"/>
      <w:contextualSpacing/>
    </w:pPr>
    <w:rPr>
      <w:rFonts w:eastAsia="Calibri"/>
      <w:color w:val="000000"/>
      <w:sz w:val="24"/>
      <w:szCs w:val="24"/>
    </w:rPr>
  </w:style>
  <w:style w:type="paragraph" w:customStyle="1" w:styleId="2c">
    <w:name w:val="Без интервала2"/>
    <w:qFormat/>
    <w:rsid w:val="00A27DF6"/>
    <w:pPr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Style27">
    <w:name w:val="Style27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01" w:lineRule="exact"/>
      <w:ind w:firstLine="710"/>
      <w:contextualSpacing/>
      <w:jc w:val="both"/>
    </w:pPr>
    <w:rPr>
      <w:rFonts w:eastAsia="Calibri"/>
      <w:color w:val="000000"/>
      <w:sz w:val="24"/>
      <w:szCs w:val="24"/>
    </w:rPr>
  </w:style>
  <w:style w:type="paragraph" w:customStyle="1" w:styleId="Style17">
    <w:name w:val="Style17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413" w:lineRule="exact"/>
      <w:ind w:firstLine="154"/>
      <w:contextualSpacing/>
    </w:pPr>
    <w:rPr>
      <w:rFonts w:ascii="Arial" w:hAnsi="Arial" w:cs="Arial"/>
      <w:color w:val="000000"/>
      <w:sz w:val="24"/>
      <w:szCs w:val="24"/>
    </w:rPr>
  </w:style>
  <w:style w:type="paragraph" w:customStyle="1" w:styleId="Style16">
    <w:name w:val="Style16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403" w:lineRule="exact"/>
      <w:ind w:firstLine="1392"/>
      <w:contextualSpacing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Style19">
    <w:name w:val="Style19"/>
    <w:basedOn w:val="a1"/>
    <w:uiPriority w:val="99"/>
    <w:qFormat/>
    <w:rsid w:val="00A27DF6"/>
    <w:pPr>
      <w:widowControl w:val="0"/>
      <w:autoSpaceDE w:val="0"/>
      <w:autoSpaceDN w:val="0"/>
      <w:adjustRightInd w:val="0"/>
      <w:spacing w:line="346" w:lineRule="exact"/>
      <w:ind w:firstLine="552"/>
      <w:contextualSpacing/>
      <w:jc w:val="both"/>
    </w:pPr>
    <w:rPr>
      <w:rFonts w:ascii="Calibri" w:hAnsi="Calibri"/>
      <w:color w:val="000000"/>
      <w:sz w:val="24"/>
      <w:szCs w:val="24"/>
    </w:rPr>
  </w:style>
  <w:style w:type="character" w:styleId="afff9">
    <w:name w:val="footnote reference"/>
    <w:aliases w:val="Знак сноски-FN,Ciae niinee-FN,SUPERS,Знак сноски 1,Referencia nota al pie,fr,Used by Word for Help footnote symbols"/>
    <w:uiPriority w:val="99"/>
    <w:unhideWhenUsed/>
    <w:rsid w:val="00A27DF6"/>
    <w:rPr>
      <w:rFonts w:ascii="Times New Roman" w:hAnsi="Times New Roman" w:cs="Times New Roman" w:hint="default"/>
      <w:vertAlign w:val="superscript"/>
      <w:lang w:val="ru-RU"/>
    </w:rPr>
  </w:style>
  <w:style w:type="character" w:styleId="afffa">
    <w:name w:val="annotation reference"/>
    <w:unhideWhenUsed/>
    <w:rsid w:val="00A27DF6"/>
    <w:rPr>
      <w:sz w:val="16"/>
      <w:szCs w:val="16"/>
    </w:rPr>
  </w:style>
  <w:style w:type="character" w:styleId="afffb">
    <w:name w:val="page number"/>
    <w:uiPriority w:val="99"/>
    <w:unhideWhenUsed/>
    <w:rsid w:val="00A27DF6"/>
    <w:rPr>
      <w:rFonts w:ascii="Times New Roman" w:hAnsi="Times New Roman" w:cs="Times New Roman" w:hint="default"/>
    </w:rPr>
  </w:style>
  <w:style w:type="character" w:customStyle="1" w:styleId="71">
    <w:name w:val="Заголовок 7 Знак1"/>
    <w:uiPriority w:val="99"/>
    <w:semiHidden/>
    <w:rsid w:val="00A27DF6"/>
    <w:rPr>
      <w:rFonts w:ascii="Cambria" w:eastAsia="Times New Roman" w:hAnsi="Cambria" w:cs="Times New Roman" w:hint="default"/>
      <w:i/>
      <w:iCs/>
      <w:color w:val="243F60"/>
    </w:rPr>
  </w:style>
  <w:style w:type="character" w:customStyle="1" w:styleId="81">
    <w:name w:val="Заголовок 8 Знак1"/>
    <w:uiPriority w:val="99"/>
    <w:semiHidden/>
    <w:rsid w:val="00A27DF6"/>
    <w:rPr>
      <w:rFonts w:ascii="Cambria" w:eastAsia="Times New Roman" w:hAnsi="Cambria" w:cs="Times New Roman" w:hint="default"/>
      <w:color w:val="272727"/>
      <w:sz w:val="21"/>
      <w:szCs w:val="21"/>
    </w:rPr>
  </w:style>
  <w:style w:type="character" w:customStyle="1" w:styleId="91">
    <w:name w:val="Заголовок 9 Знак1"/>
    <w:uiPriority w:val="99"/>
    <w:semiHidden/>
    <w:rsid w:val="00A27DF6"/>
    <w:rPr>
      <w:rFonts w:ascii="Cambria" w:eastAsia="Times New Roman" w:hAnsi="Cambria" w:cs="Times New Roman" w:hint="default"/>
      <w:i/>
      <w:iCs/>
      <w:color w:val="272727"/>
      <w:sz w:val="21"/>
      <w:szCs w:val="21"/>
    </w:rPr>
  </w:style>
  <w:style w:type="character" w:customStyle="1" w:styleId="1f0">
    <w:name w:val="Основной текст Знак1"/>
    <w:basedOn w:val="a2"/>
    <w:uiPriority w:val="99"/>
    <w:semiHidden/>
    <w:rsid w:val="00A27DF6"/>
    <w:rPr>
      <w:rFonts w:eastAsia="Calibri"/>
      <w:color w:val="000000"/>
      <w:sz w:val="24"/>
      <w:szCs w:val="24"/>
    </w:rPr>
  </w:style>
  <w:style w:type="character" w:customStyle="1" w:styleId="1f1">
    <w:name w:val="Основной текст с отступом Знак1"/>
    <w:basedOn w:val="a2"/>
    <w:uiPriority w:val="99"/>
    <w:semiHidden/>
    <w:rsid w:val="00A27DF6"/>
    <w:rPr>
      <w:rFonts w:eastAsia="Calibri"/>
      <w:color w:val="000000"/>
      <w:sz w:val="24"/>
      <w:szCs w:val="24"/>
    </w:rPr>
  </w:style>
  <w:style w:type="character" w:customStyle="1" w:styleId="215">
    <w:name w:val="Основной текст с отступом 2 Знак1"/>
    <w:basedOn w:val="a2"/>
    <w:uiPriority w:val="99"/>
    <w:semiHidden/>
    <w:rsid w:val="00A27DF6"/>
    <w:rPr>
      <w:rFonts w:eastAsia="Calibri"/>
      <w:color w:val="000000"/>
      <w:sz w:val="24"/>
      <w:szCs w:val="24"/>
    </w:rPr>
  </w:style>
  <w:style w:type="character" w:customStyle="1" w:styleId="312">
    <w:name w:val="Основной текст с отступом 3 Знак1"/>
    <w:basedOn w:val="a2"/>
    <w:uiPriority w:val="99"/>
    <w:semiHidden/>
    <w:rsid w:val="00A27DF6"/>
    <w:rPr>
      <w:rFonts w:eastAsia="Calibri"/>
      <w:color w:val="000000"/>
      <w:sz w:val="16"/>
      <w:szCs w:val="16"/>
    </w:rPr>
  </w:style>
  <w:style w:type="character" w:customStyle="1" w:styleId="1f2">
    <w:name w:val="Верхний колонтитул Знак1"/>
    <w:basedOn w:val="a2"/>
    <w:uiPriority w:val="99"/>
    <w:semiHidden/>
    <w:rsid w:val="00A27DF6"/>
    <w:rPr>
      <w:rFonts w:eastAsia="Calibri"/>
      <w:color w:val="000000"/>
      <w:sz w:val="24"/>
      <w:szCs w:val="24"/>
    </w:rPr>
  </w:style>
  <w:style w:type="character" w:customStyle="1" w:styleId="1f3">
    <w:name w:val="Нижний колонтитул Знак1"/>
    <w:basedOn w:val="a2"/>
    <w:uiPriority w:val="99"/>
    <w:semiHidden/>
    <w:rsid w:val="00A27DF6"/>
    <w:rPr>
      <w:rFonts w:eastAsia="Calibri"/>
      <w:color w:val="000000"/>
      <w:sz w:val="24"/>
      <w:szCs w:val="24"/>
    </w:rPr>
  </w:style>
  <w:style w:type="character" w:customStyle="1" w:styleId="1f4">
    <w:name w:val="Текст выноски Знак1"/>
    <w:basedOn w:val="a2"/>
    <w:uiPriority w:val="99"/>
    <w:semiHidden/>
    <w:rsid w:val="00A27DF6"/>
    <w:rPr>
      <w:rFonts w:ascii="Segoe UI" w:eastAsia="Calibri" w:hAnsi="Segoe UI" w:cs="Segoe UI"/>
      <w:color w:val="000000"/>
      <w:sz w:val="18"/>
      <w:szCs w:val="18"/>
    </w:rPr>
  </w:style>
  <w:style w:type="paragraph" w:styleId="afffc">
    <w:name w:val="Title"/>
    <w:basedOn w:val="a1"/>
    <w:next w:val="a1"/>
    <w:link w:val="afffd"/>
    <w:uiPriority w:val="10"/>
    <w:qFormat/>
    <w:rsid w:val="00A27D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d">
    <w:name w:val="Заголовок Знак"/>
    <w:basedOn w:val="a2"/>
    <w:link w:val="afffc"/>
    <w:uiPriority w:val="10"/>
    <w:rsid w:val="00A27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e">
    <w:name w:val="Subtitle"/>
    <w:basedOn w:val="a1"/>
    <w:next w:val="a1"/>
    <w:link w:val="afd"/>
    <w:qFormat/>
    <w:rsid w:val="00A27DF6"/>
    <w:pPr>
      <w:numPr>
        <w:ilvl w:val="1"/>
      </w:numPr>
      <w:spacing w:after="160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1f5">
    <w:name w:val="Подзаголовок Знак1"/>
    <w:basedOn w:val="a2"/>
    <w:rsid w:val="00A27DF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24">
    <w:name w:val="Body Text 2"/>
    <w:basedOn w:val="a1"/>
    <w:link w:val="23"/>
    <w:uiPriority w:val="99"/>
    <w:unhideWhenUsed/>
    <w:rsid w:val="00A27DF6"/>
    <w:pPr>
      <w:spacing w:after="120" w:line="480" w:lineRule="auto"/>
    </w:pPr>
  </w:style>
  <w:style w:type="character" w:customStyle="1" w:styleId="216">
    <w:name w:val="Основной текст 2 Знак1"/>
    <w:basedOn w:val="a2"/>
    <w:uiPriority w:val="99"/>
    <w:rsid w:val="00A27DF6"/>
  </w:style>
  <w:style w:type="paragraph" w:styleId="34">
    <w:name w:val="Body Text 3"/>
    <w:basedOn w:val="a1"/>
    <w:link w:val="33"/>
    <w:uiPriority w:val="99"/>
    <w:unhideWhenUsed/>
    <w:rsid w:val="00A27DF6"/>
    <w:pPr>
      <w:spacing w:after="120"/>
    </w:pPr>
    <w:rPr>
      <w:sz w:val="16"/>
    </w:rPr>
  </w:style>
  <w:style w:type="character" w:customStyle="1" w:styleId="313">
    <w:name w:val="Основной текст 3 Знак1"/>
    <w:basedOn w:val="a2"/>
    <w:uiPriority w:val="99"/>
    <w:rsid w:val="00A27DF6"/>
    <w:rPr>
      <w:sz w:val="16"/>
      <w:szCs w:val="16"/>
    </w:rPr>
  </w:style>
  <w:style w:type="paragraph" w:styleId="aff0">
    <w:name w:val="Plain Text"/>
    <w:basedOn w:val="a1"/>
    <w:link w:val="aff"/>
    <w:unhideWhenUsed/>
    <w:rsid w:val="00A27DF6"/>
    <w:rPr>
      <w:rFonts w:ascii="Courier New" w:hAnsi="Courier New" w:cs="Courier New"/>
      <w:b/>
    </w:rPr>
  </w:style>
  <w:style w:type="character" w:customStyle="1" w:styleId="1f6">
    <w:name w:val="Текст Знак1"/>
    <w:basedOn w:val="a2"/>
    <w:uiPriority w:val="99"/>
    <w:rsid w:val="00A27DF6"/>
    <w:rPr>
      <w:rFonts w:ascii="Consolas" w:hAnsi="Consolas"/>
      <w:sz w:val="21"/>
      <w:szCs w:val="21"/>
    </w:rPr>
  </w:style>
  <w:style w:type="paragraph" w:styleId="aff4">
    <w:name w:val="List Paragraph"/>
    <w:basedOn w:val="a1"/>
    <w:link w:val="aff3"/>
    <w:uiPriority w:val="34"/>
    <w:qFormat/>
    <w:rsid w:val="00A27DF6"/>
    <w:pPr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Heading1Char">
    <w:name w:val="Heading 1 Char"/>
    <w:uiPriority w:val="99"/>
    <w:locked/>
    <w:rsid w:val="00A27DF6"/>
    <w:rPr>
      <w:rFonts w:ascii="Times New Roman" w:hAnsi="Times New Roman" w:cs="Times New Roman" w:hint="default"/>
      <w:sz w:val="28"/>
      <w:lang w:val="ru-RU" w:eastAsia="ru-RU"/>
    </w:rPr>
  </w:style>
  <w:style w:type="character" w:customStyle="1" w:styleId="Heading2Char">
    <w:name w:val="Heading 2 Char"/>
    <w:aliases w:val="Знак3 Char"/>
    <w:uiPriority w:val="99"/>
    <w:semiHidden/>
    <w:locked/>
    <w:rsid w:val="00A27DF6"/>
    <w:rPr>
      <w:rFonts w:ascii="Cambria" w:hAnsi="Cambria" w:cs="Times New Roman" w:hint="default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locked/>
    <w:rsid w:val="00A27DF6"/>
    <w:rPr>
      <w:rFonts w:ascii="Arial" w:hAnsi="Arial" w:cs="Times New Roman" w:hint="default"/>
      <w:b/>
      <w:bCs w:val="0"/>
      <w:sz w:val="26"/>
      <w:lang w:val="ru-RU" w:eastAsia="ru-RU"/>
    </w:rPr>
  </w:style>
  <w:style w:type="character" w:customStyle="1" w:styleId="Heading4Char">
    <w:name w:val="Heading 4 Char"/>
    <w:uiPriority w:val="99"/>
    <w:locked/>
    <w:rsid w:val="00A27DF6"/>
    <w:rPr>
      <w:rFonts w:ascii="Times New Roman" w:hAnsi="Times New Roman" w:cs="Times New Roman" w:hint="default"/>
      <w:b/>
      <w:bCs w:val="0"/>
      <w:sz w:val="28"/>
      <w:lang w:val="ru-RU" w:eastAsia="ru-RU"/>
    </w:rPr>
  </w:style>
  <w:style w:type="character" w:customStyle="1" w:styleId="Heading5Char">
    <w:name w:val="Heading 5 Char"/>
    <w:uiPriority w:val="99"/>
    <w:locked/>
    <w:rsid w:val="00A27DF6"/>
    <w:rPr>
      <w:rFonts w:ascii="Times New Roman" w:hAnsi="Times New Roman" w:cs="Times New Roman" w:hint="default"/>
      <w:b/>
      <w:bCs w:val="0"/>
      <w:i/>
      <w:iCs w:val="0"/>
      <w:sz w:val="26"/>
      <w:lang w:val="ru-RU" w:eastAsia="ru-RU"/>
    </w:rPr>
  </w:style>
  <w:style w:type="character" w:customStyle="1" w:styleId="Heading6Char">
    <w:name w:val="Heading 6 Char"/>
    <w:uiPriority w:val="99"/>
    <w:locked/>
    <w:rsid w:val="00A27DF6"/>
    <w:rPr>
      <w:rFonts w:ascii="Times New Roman" w:hAnsi="Times New Roman" w:cs="Times New Roman" w:hint="default"/>
      <w:b/>
      <w:bCs w:val="0"/>
      <w:sz w:val="28"/>
      <w:lang w:val="ru-RU" w:eastAsia="ru-RU"/>
    </w:rPr>
  </w:style>
  <w:style w:type="character" w:customStyle="1" w:styleId="Heading7Char">
    <w:name w:val="Heading 7 Char"/>
    <w:uiPriority w:val="99"/>
    <w:locked/>
    <w:rsid w:val="00A27DF6"/>
    <w:rPr>
      <w:rFonts w:ascii="Times New Roman" w:hAnsi="Times New Roman" w:cs="Times New Roman" w:hint="default"/>
      <w:sz w:val="28"/>
      <w:lang w:val="ru-RU" w:eastAsia="ru-RU"/>
    </w:rPr>
  </w:style>
  <w:style w:type="character" w:customStyle="1" w:styleId="Heading8Char">
    <w:name w:val="Heading 8 Char"/>
    <w:uiPriority w:val="99"/>
    <w:locked/>
    <w:rsid w:val="00A27DF6"/>
    <w:rPr>
      <w:rFonts w:ascii="Times New Roman" w:hAnsi="Times New Roman" w:cs="Times New Roman" w:hint="default"/>
      <w:i/>
      <w:iCs w:val="0"/>
      <w:sz w:val="28"/>
      <w:u w:val="single"/>
      <w:lang w:val="ru-RU" w:eastAsia="ru-RU"/>
    </w:rPr>
  </w:style>
  <w:style w:type="character" w:customStyle="1" w:styleId="BodyTextIndentChar">
    <w:name w:val="Body Text Indent Char"/>
    <w:uiPriority w:val="99"/>
    <w:locked/>
    <w:rsid w:val="00A27DF6"/>
    <w:rPr>
      <w:rFonts w:ascii="Times New Roman" w:hAnsi="Times New Roman" w:cs="Times New Roman" w:hint="default"/>
      <w:sz w:val="24"/>
      <w:lang w:val="ru-RU" w:eastAsia="ru-RU"/>
    </w:rPr>
  </w:style>
  <w:style w:type="character" w:customStyle="1" w:styleId="BodyTextIndent2Char">
    <w:name w:val="Body Text Indent 2 Char"/>
    <w:uiPriority w:val="99"/>
    <w:semiHidden/>
    <w:locked/>
    <w:rsid w:val="00A27DF6"/>
    <w:rPr>
      <w:rFonts w:ascii="Calibri" w:hAnsi="Calibri" w:cs="Times New Roman" w:hint="default"/>
      <w:sz w:val="22"/>
      <w:lang w:val="ru-RU" w:eastAsia="en-US"/>
    </w:rPr>
  </w:style>
  <w:style w:type="character" w:customStyle="1" w:styleId="HeaderChar">
    <w:name w:val="Header Char"/>
    <w:uiPriority w:val="99"/>
    <w:locked/>
    <w:rsid w:val="00A27DF6"/>
    <w:rPr>
      <w:rFonts w:ascii="Calibri" w:hAnsi="Calibri" w:cs="Times New Roman" w:hint="default"/>
      <w:sz w:val="22"/>
      <w:lang w:val="ru-RU" w:eastAsia="en-US"/>
    </w:rPr>
  </w:style>
  <w:style w:type="character" w:customStyle="1" w:styleId="FooterChar">
    <w:name w:val="Footer Char"/>
    <w:uiPriority w:val="99"/>
    <w:locked/>
    <w:rsid w:val="00A27DF6"/>
    <w:rPr>
      <w:rFonts w:ascii="Times New Roman" w:hAnsi="Times New Roman" w:cs="Times New Roman" w:hint="default"/>
      <w:sz w:val="24"/>
      <w:lang w:val="ru-RU" w:eastAsia="ru-RU"/>
    </w:rPr>
  </w:style>
  <w:style w:type="character" w:customStyle="1" w:styleId="BodyTextChar">
    <w:name w:val="Body Text Char"/>
    <w:uiPriority w:val="99"/>
    <w:locked/>
    <w:rsid w:val="00A27DF6"/>
    <w:rPr>
      <w:rFonts w:ascii="Calibri" w:hAnsi="Calibri" w:cs="Times New Roman" w:hint="default"/>
      <w:sz w:val="22"/>
      <w:lang w:val="ru-RU" w:eastAsia="en-US"/>
    </w:rPr>
  </w:style>
  <w:style w:type="character" w:customStyle="1" w:styleId="buk1">
    <w:name w:val="buk1"/>
    <w:uiPriority w:val="99"/>
    <w:rsid w:val="00A27DF6"/>
    <w:rPr>
      <w:rFonts w:ascii="Arial" w:hAnsi="Arial" w:cs="Arial" w:hint="default"/>
      <w:b/>
      <w:bCs w:val="0"/>
      <w:color w:val="FFFFFF"/>
      <w:sz w:val="89"/>
      <w:shd w:val="clear" w:color="auto" w:fill="C0C0C0"/>
    </w:rPr>
  </w:style>
  <w:style w:type="character" w:customStyle="1" w:styleId="afffe">
    <w:name w:val="Цветовое выделение"/>
    <w:uiPriority w:val="99"/>
    <w:rsid w:val="00A27DF6"/>
    <w:rPr>
      <w:b/>
      <w:bCs w:val="0"/>
      <w:color w:val="000080"/>
      <w:sz w:val="20"/>
    </w:rPr>
  </w:style>
  <w:style w:type="character" w:customStyle="1" w:styleId="affff">
    <w:name w:val="Гипертекстовая ссылка"/>
    <w:uiPriority w:val="99"/>
    <w:rsid w:val="00A27DF6"/>
    <w:rPr>
      <w:b/>
      <w:bCs w:val="0"/>
      <w:color w:val="008000"/>
      <w:sz w:val="20"/>
      <w:u w:val="single"/>
    </w:rPr>
  </w:style>
  <w:style w:type="character" w:customStyle="1" w:styleId="BodyTextIndent3Char">
    <w:name w:val="Body Text Indent 3 Char"/>
    <w:uiPriority w:val="99"/>
    <w:locked/>
    <w:rsid w:val="00A27DF6"/>
    <w:rPr>
      <w:rFonts w:ascii="Times New Roman" w:hAnsi="Times New Roman" w:cs="Times New Roman" w:hint="default"/>
      <w:sz w:val="16"/>
      <w:lang w:val="ru-RU" w:eastAsia="ru-RU"/>
    </w:rPr>
  </w:style>
  <w:style w:type="character" w:customStyle="1" w:styleId="hl21">
    <w:name w:val="hl21"/>
    <w:uiPriority w:val="99"/>
    <w:rsid w:val="00A27DF6"/>
    <w:rPr>
      <w:b/>
      <w:bCs w:val="0"/>
      <w:sz w:val="24"/>
    </w:rPr>
  </w:style>
  <w:style w:type="character" w:customStyle="1" w:styleId="BodyText2Char">
    <w:name w:val="Body Text 2 Char"/>
    <w:uiPriority w:val="99"/>
    <w:locked/>
    <w:rsid w:val="00A27DF6"/>
    <w:rPr>
      <w:rFonts w:ascii="Times New Roman" w:hAnsi="Times New Roman" w:cs="Times New Roman" w:hint="default"/>
      <w:lang w:val="ru-RU" w:eastAsia="ru-RU"/>
    </w:rPr>
  </w:style>
  <w:style w:type="character" w:customStyle="1" w:styleId="PlainTextChar">
    <w:name w:val="Plain Text Char"/>
    <w:uiPriority w:val="99"/>
    <w:semiHidden/>
    <w:locked/>
    <w:rsid w:val="00A27DF6"/>
    <w:rPr>
      <w:rFonts w:ascii="Courier New" w:hAnsi="Courier New" w:cs="Times New Roman" w:hint="default"/>
      <w:lang w:val="ru-RU" w:eastAsia="ru-RU"/>
    </w:rPr>
  </w:style>
  <w:style w:type="character" w:customStyle="1" w:styleId="1f7">
    <w:name w:val="Название Знак1"/>
    <w:rsid w:val="00A27DF6"/>
    <w:rPr>
      <w:rFonts w:ascii="Cambria" w:eastAsia="Times New Roman" w:hAnsi="Cambria" w:cs="Times New Roman" w:hint="default"/>
      <w:b/>
      <w:bCs/>
      <w:kern w:val="28"/>
      <w:sz w:val="32"/>
      <w:szCs w:val="32"/>
    </w:rPr>
  </w:style>
  <w:style w:type="character" w:customStyle="1" w:styleId="1f8">
    <w:name w:val="Заголовок Знак1"/>
    <w:rsid w:val="00A27DF6"/>
    <w:rPr>
      <w:rFonts w:ascii="Cambria" w:eastAsia="Times New Roman" w:hAnsi="Cambria" w:cs="Times New Roman" w:hint="default"/>
      <w:spacing w:val="-10"/>
      <w:kern w:val="28"/>
      <w:sz w:val="56"/>
      <w:szCs w:val="56"/>
    </w:rPr>
  </w:style>
  <w:style w:type="character" w:customStyle="1" w:styleId="TitleChar">
    <w:name w:val="Title Char"/>
    <w:uiPriority w:val="99"/>
    <w:locked/>
    <w:rsid w:val="00A27DF6"/>
    <w:rPr>
      <w:rFonts w:ascii="Times New Roman" w:hAnsi="Times New Roman" w:cs="Times New Roman" w:hint="default"/>
      <w:sz w:val="28"/>
      <w:lang w:val="ru-RU" w:eastAsia="ru-RU"/>
    </w:rPr>
  </w:style>
  <w:style w:type="character" w:customStyle="1" w:styleId="BodyText3Char">
    <w:name w:val="Body Text 3 Char"/>
    <w:uiPriority w:val="99"/>
    <w:locked/>
    <w:rsid w:val="00A27DF6"/>
    <w:rPr>
      <w:rFonts w:ascii="Times New Roman" w:hAnsi="Times New Roman" w:cs="Times New Roman" w:hint="default"/>
      <w:sz w:val="16"/>
      <w:lang w:val="ru-RU" w:eastAsia="ru-RU"/>
    </w:rPr>
  </w:style>
  <w:style w:type="character" w:customStyle="1" w:styleId="FootnoteTextChar">
    <w:name w:val="Footnote Text Char"/>
    <w:aliases w:val="Table_Footnote_last Char,Текст сноски Знак Знак Char Char1,Texto de nota al pie Char Char,Texto de nota al pie Char1,Текст сноски Знак Знак Char Char Char,Schriftart: 9 pt Char,Schriftart: 10 pt Char,Schriftart: 8 pt Char,fn Char"/>
    <w:uiPriority w:val="99"/>
    <w:semiHidden/>
    <w:locked/>
    <w:rsid w:val="00A27DF6"/>
    <w:rPr>
      <w:rFonts w:ascii="Arial" w:hAnsi="Arial" w:cs="Times New Roman" w:hint="default"/>
      <w:spacing w:val="-5"/>
      <w:lang w:val="ru-RU" w:eastAsia="en-US"/>
    </w:rPr>
  </w:style>
  <w:style w:type="character" w:customStyle="1" w:styleId="newstext">
    <w:name w:val="news_text"/>
    <w:uiPriority w:val="99"/>
    <w:rsid w:val="00A27DF6"/>
    <w:rPr>
      <w:rFonts w:ascii="Verdana" w:hAnsi="Verdana" w:hint="default"/>
      <w:color w:val="000000"/>
      <w:sz w:val="17"/>
      <w:shd w:val="clear" w:color="auto" w:fill="FFFFFF"/>
    </w:rPr>
  </w:style>
  <w:style w:type="character" w:customStyle="1" w:styleId="style210">
    <w:name w:val="style21"/>
    <w:uiPriority w:val="99"/>
    <w:rsid w:val="00A27DF6"/>
    <w:rPr>
      <w:b/>
      <w:bCs w:val="0"/>
      <w:color w:val="006CE4"/>
      <w:sz w:val="27"/>
    </w:rPr>
  </w:style>
  <w:style w:type="character" w:customStyle="1" w:styleId="grame">
    <w:name w:val="grame"/>
    <w:uiPriority w:val="99"/>
    <w:rsid w:val="00A27DF6"/>
  </w:style>
  <w:style w:type="character" w:customStyle="1" w:styleId="BalloonTextChar">
    <w:name w:val="Balloon Text Char"/>
    <w:uiPriority w:val="99"/>
    <w:semiHidden/>
    <w:locked/>
    <w:rsid w:val="00A27DF6"/>
    <w:rPr>
      <w:rFonts w:ascii="Tahoma" w:hAnsi="Tahoma" w:cs="Times New Roman" w:hint="default"/>
      <w:sz w:val="16"/>
      <w:lang w:val="ru-RU" w:eastAsia="ru-RU"/>
    </w:rPr>
  </w:style>
  <w:style w:type="character" w:customStyle="1" w:styleId="f">
    <w:name w:val="f"/>
    <w:uiPriority w:val="99"/>
    <w:rsid w:val="00A27DF6"/>
  </w:style>
  <w:style w:type="character" w:customStyle="1" w:styleId="1f9">
    <w:name w:val="Знак1"/>
    <w:uiPriority w:val="99"/>
    <w:rsid w:val="00A27DF6"/>
    <w:rPr>
      <w:sz w:val="24"/>
      <w:lang w:val="ru-RU" w:eastAsia="ru-RU"/>
    </w:rPr>
  </w:style>
  <w:style w:type="character" w:customStyle="1" w:styleId="gen1">
    <w:name w:val="gen1"/>
    <w:uiPriority w:val="99"/>
    <w:rsid w:val="00A27DF6"/>
    <w:rPr>
      <w:color w:val="000000"/>
      <w:sz w:val="18"/>
    </w:rPr>
  </w:style>
  <w:style w:type="character" w:customStyle="1" w:styleId="spelle">
    <w:name w:val="spelle"/>
    <w:uiPriority w:val="99"/>
    <w:rsid w:val="00A27DF6"/>
  </w:style>
  <w:style w:type="character" w:customStyle="1" w:styleId="paragraph">
    <w:name w:val="paragraph"/>
    <w:uiPriority w:val="99"/>
    <w:rsid w:val="00A27DF6"/>
  </w:style>
  <w:style w:type="character" w:customStyle="1" w:styleId="textgray">
    <w:name w:val="text_gray"/>
    <w:uiPriority w:val="99"/>
    <w:rsid w:val="00A27DF6"/>
    <w:rPr>
      <w:rFonts w:ascii="Verdana" w:hAnsi="Verdana" w:hint="default"/>
      <w:strike w:val="0"/>
      <w:dstrike w:val="0"/>
      <w:color w:val="777777"/>
      <w:sz w:val="21"/>
      <w:u w:val="none"/>
      <w:effect w:val="none"/>
    </w:rPr>
  </w:style>
  <w:style w:type="character" w:customStyle="1" w:styleId="symbols">
    <w:name w:val="symbols"/>
    <w:uiPriority w:val="99"/>
    <w:rsid w:val="00A27DF6"/>
  </w:style>
  <w:style w:type="character" w:customStyle="1" w:styleId="articleseparator1">
    <w:name w:val="article_separator1"/>
    <w:uiPriority w:val="99"/>
    <w:rsid w:val="00A27DF6"/>
  </w:style>
  <w:style w:type="character" w:customStyle="1" w:styleId="FontStyle11">
    <w:name w:val="Font Style11"/>
    <w:uiPriority w:val="99"/>
    <w:rsid w:val="00A27DF6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12">
    <w:name w:val="Font Style12"/>
    <w:uiPriority w:val="99"/>
    <w:rsid w:val="00A27DF6"/>
    <w:rPr>
      <w:rFonts w:ascii="Times New Roman" w:hAnsi="Times New Roman" w:cs="Times New Roman" w:hint="default"/>
      <w:sz w:val="28"/>
    </w:rPr>
  </w:style>
  <w:style w:type="character" w:customStyle="1" w:styleId="FontStyle13">
    <w:name w:val="Font Style13"/>
    <w:uiPriority w:val="99"/>
    <w:rsid w:val="00A27DF6"/>
    <w:rPr>
      <w:rFonts w:ascii="Times New Roman" w:hAnsi="Times New Roman" w:cs="Times New Roman" w:hint="default"/>
      <w:i/>
      <w:iCs w:val="0"/>
      <w:sz w:val="28"/>
    </w:rPr>
  </w:style>
  <w:style w:type="character" w:customStyle="1" w:styleId="bcurrentcrumb">
    <w:name w:val="b_currentcrumb"/>
    <w:uiPriority w:val="99"/>
    <w:rsid w:val="00A27DF6"/>
  </w:style>
  <w:style w:type="character" w:customStyle="1" w:styleId="SUBST">
    <w:name w:val="__SUBST"/>
    <w:uiPriority w:val="99"/>
    <w:rsid w:val="00A27DF6"/>
    <w:rPr>
      <w:b/>
      <w:bCs w:val="0"/>
      <w:i/>
      <w:iCs w:val="0"/>
      <w:sz w:val="22"/>
    </w:rPr>
  </w:style>
  <w:style w:type="character" w:customStyle="1" w:styleId="highlighthighlightactive">
    <w:name w:val="highlight highlight_active"/>
    <w:uiPriority w:val="99"/>
    <w:rsid w:val="00A27DF6"/>
  </w:style>
  <w:style w:type="character" w:customStyle="1" w:styleId="articleseparator">
    <w:name w:val="article_separator"/>
    <w:uiPriority w:val="99"/>
    <w:rsid w:val="00A27DF6"/>
    <w:rPr>
      <w:vanish/>
      <w:webHidden w:val="0"/>
      <w:specVanish w:val="0"/>
    </w:rPr>
  </w:style>
  <w:style w:type="character" w:customStyle="1" w:styleId="410">
    <w:name w:val="Заголовок 4 Знак1"/>
    <w:uiPriority w:val="99"/>
    <w:rsid w:val="00A27DF6"/>
    <w:rPr>
      <w:b/>
      <w:bCs w:val="0"/>
      <w:sz w:val="28"/>
      <w:lang w:val="ru-RU" w:eastAsia="ru-RU"/>
    </w:rPr>
  </w:style>
  <w:style w:type="character" w:customStyle="1" w:styleId="FontStyle19">
    <w:name w:val="Font Style19"/>
    <w:uiPriority w:val="99"/>
    <w:rsid w:val="00A27DF6"/>
    <w:rPr>
      <w:rFonts w:ascii="Times New Roman" w:hAnsi="Times New Roman" w:cs="Times New Roman" w:hint="default"/>
      <w:sz w:val="28"/>
    </w:rPr>
  </w:style>
  <w:style w:type="character" w:customStyle="1" w:styleId="fontregularwhite">
    <w:name w:val="font_regular_white"/>
    <w:uiPriority w:val="99"/>
    <w:rsid w:val="00A27DF6"/>
    <w:rPr>
      <w:rFonts w:ascii="Times New Roman" w:hAnsi="Times New Roman" w:cs="Times New Roman" w:hint="default"/>
    </w:rPr>
  </w:style>
  <w:style w:type="character" w:customStyle="1" w:styleId="Heading2Char4">
    <w:name w:val="Heading 2 Char4"/>
    <w:aliases w:val="Знак3 Char4"/>
    <w:uiPriority w:val="99"/>
    <w:locked/>
    <w:rsid w:val="00A27DF6"/>
    <w:rPr>
      <w:rFonts w:ascii="Arial" w:hAnsi="Arial" w:cs="Arial" w:hint="default"/>
      <w:b/>
      <w:bCs w:val="0"/>
      <w:i/>
      <w:iCs w:val="0"/>
      <w:sz w:val="28"/>
      <w:lang w:val="ru-RU" w:eastAsia="ru-RU"/>
    </w:rPr>
  </w:style>
  <w:style w:type="character" w:customStyle="1" w:styleId="PlainTextChar1">
    <w:name w:val="Plain Text Char1"/>
    <w:uiPriority w:val="99"/>
    <w:locked/>
    <w:rsid w:val="00A27DF6"/>
    <w:rPr>
      <w:rFonts w:ascii="Courier New" w:hAnsi="Courier New" w:cs="Courier New" w:hint="default"/>
      <w:b/>
      <w:bCs w:val="0"/>
      <w:lang w:val="ru-RU" w:eastAsia="ru-RU"/>
    </w:rPr>
  </w:style>
  <w:style w:type="character" w:customStyle="1" w:styleId="TitleChar1">
    <w:name w:val="Title Char1"/>
    <w:uiPriority w:val="99"/>
    <w:locked/>
    <w:rsid w:val="00A27DF6"/>
    <w:rPr>
      <w:sz w:val="28"/>
      <w:lang w:val="ru-RU" w:eastAsia="ru-RU"/>
    </w:rPr>
  </w:style>
  <w:style w:type="character" w:customStyle="1" w:styleId="NormalWebChar">
    <w:name w:val="Normal (Web) Char"/>
    <w:aliases w:val="Обычный (Web)1 Char,Обычный (Web) Char,Обычный (веб)211 Char,Обычный (веб)11 Char,Обычный (веб) Знак Char,Обычный (Web) Знак Char,Обычный (веб)4 Char,Обычный (Web)11 Char,Обычный (веб)21 Char,Обычный (веб)3 Char"/>
    <w:uiPriority w:val="99"/>
    <w:locked/>
    <w:rsid w:val="00A27DF6"/>
    <w:rPr>
      <w:sz w:val="24"/>
      <w:lang w:val="ru-RU" w:eastAsia="ru-RU"/>
    </w:rPr>
  </w:style>
  <w:style w:type="character" w:customStyle="1" w:styleId="apple-converted-space">
    <w:name w:val="apple-converted-space"/>
    <w:rsid w:val="00A27DF6"/>
    <w:rPr>
      <w:rFonts w:ascii="Times New Roman" w:hAnsi="Times New Roman" w:cs="Times New Roman" w:hint="default"/>
    </w:rPr>
  </w:style>
  <w:style w:type="character" w:customStyle="1" w:styleId="TitleChar2">
    <w:name w:val="Title Char2"/>
    <w:uiPriority w:val="99"/>
    <w:locked/>
    <w:rsid w:val="00A27DF6"/>
    <w:rPr>
      <w:sz w:val="28"/>
      <w:lang w:val="ru-RU" w:eastAsia="ru-RU"/>
    </w:rPr>
  </w:style>
  <w:style w:type="character" w:customStyle="1" w:styleId="Bodytext3">
    <w:name w:val="Body text (3)"/>
    <w:uiPriority w:val="99"/>
    <w:rsid w:val="00A27DF6"/>
    <w:rPr>
      <w:rFonts w:ascii="Times New Roman" w:hAnsi="Times New Roman" w:cs="Times New Roman" w:hint="default"/>
      <w:i/>
      <w:iCs w:val="0"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BodyText2Char1">
    <w:name w:val="Body Text 2 Char1"/>
    <w:uiPriority w:val="99"/>
    <w:locked/>
    <w:rsid w:val="00A27DF6"/>
    <w:rPr>
      <w:lang w:val="ru-RU" w:eastAsia="ru-RU"/>
    </w:rPr>
  </w:style>
  <w:style w:type="character" w:customStyle="1" w:styleId="Heading2Char2">
    <w:name w:val="Heading 2 Char2"/>
    <w:aliases w:val="Знак3 Char2"/>
    <w:uiPriority w:val="99"/>
    <w:locked/>
    <w:rsid w:val="00A27DF6"/>
    <w:rPr>
      <w:rFonts w:ascii="Arial" w:hAnsi="Arial" w:cs="Arial" w:hint="default"/>
      <w:b/>
      <w:bCs w:val="0"/>
      <w:i/>
      <w:iCs w:val="0"/>
      <w:sz w:val="28"/>
      <w:lang w:val="ru-RU" w:eastAsia="ru-RU"/>
    </w:rPr>
  </w:style>
  <w:style w:type="character" w:customStyle="1" w:styleId="Heading2Char3">
    <w:name w:val="Heading 2 Char3"/>
    <w:aliases w:val="Знак3 Char3"/>
    <w:uiPriority w:val="99"/>
    <w:locked/>
    <w:rsid w:val="00A27DF6"/>
    <w:rPr>
      <w:rFonts w:ascii="Arial" w:hAnsi="Arial" w:cs="Arial" w:hint="default"/>
      <w:b/>
      <w:bCs w:val="0"/>
      <w:i/>
      <w:iCs w:val="0"/>
      <w:sz w:val="28"/>
      <w:lang w:val="ru-RU" w:eastAsia="ru-RU"/>
    </w:rPr>
  </w:style>
  <w:style w:type="character" w:customStyle="1" w:styleId="FontStyle25">
    <w:name w:val="Font Style25"/>
    <w:uiPriority w:val="99"/>
    <w:rsid w:val="00A27DF6"/>
    <w:rPr>
      <w:rFonts w:ascii="Calibri" w:hAnsi="Calibri" w:cs="Calibri" w:hint="default"/>
      <w:spacing w:val="-10"/>
      <w:sz w:val="24"/>
    </w:rPr>
  </w:style>
  <w:style w:type="character" w:customStyle="1" w:styleId="st">
    <w:name w:val="st"/>
    <w:basedOn w:val="a2"/>
    <w:rsid w:val="00A27DF6"/>
  </w:style>
  <w:style w:type="character" w:customStyle="1" w:styleId="fontstyle01">
    <w:name w:val="fontstyle01"/>
    <w:rsid w:val="00A27DF6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3">
    <w:name w:val="Font Style43"/>
    <w:uiPriority w:val="99"/>
    <w:rsid w:val="00A27DF6"/>
    <w:rPr>
      <w:rFonts w:ascii="Times New Roman" w:hAnsi="Times New Roman" w:cs="Times New Roman" w:hint="default"/>
      <w:sz w:val="24"/>
      <w:szCs w:val="24"/>
    </w:rPr>
  </w:style>
  <w:style w:type="character" w:customStyle="1" w:styleId="Bodytext211pt">
    <w:name w:val="Body text (2) + 11 pt"/>
    <w:rsid w:val="00A27D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FontStyle37">
    <w:name w:val="Font Style37"/>
    <w:uiPriority w:val="99"/>
    <w:rsid w:val="00A27DF6"/>
    <w:rPr>
      <w:rFonts w:ascii="Calibri" w:hAnsi="Calibri" w:cs="Calibri" w:hint="default"/>
      <w:sz w:val="26"/>
      <w:szCs w:val="26"/>
    </w:rPr>
  </w:style>
  <w:style w:type="character" w:customStyle="1" w:styleId="FontStyle36">
    <w:name w:val="Font Style36"/>
    <w:uiPriority w:val="99"/>
    <w:rsid w:val="00A27DF6"/>
    <w:rPr>
      <w:rFonts w:ascii="Calibri" w:hAnsi="Calibri" w:cs="Calibri" w:hint="default"/>
      <w:b/>
      <w:bCs/>
      <w:sz w:val="26"/>
      <w:szCs w:val="26"/>
    </w:rPr>
  </w:style>
  <w:style w:type="character" w:customStyle="1" w:styleId="FontStyle48">
    <w:name w:val="Font Style48"/>
    <w:uiPriority w:val="99"/>
    <w:rsid w:val="00A27DF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9">
    <w:name w:val="Font Style49"/>
    <w:uiPriority w:val="99"/>
    <w:rsid w:val="00A27DF6"/>
    <w:rPr>
      <w:rFonts w:ascii="Times New Roman" w:hAnsi="Times New Roman" w:cs="Times New Roman" w:hint="default"/>
      <w:sz w:val="26"/>
      <w:szCs w:val="26"/>
    </w:rPr>
  </w:style>
  <w:style w:type="character" w:customStyle="1" w:styleId="cardmaininfocontent">
    <w:name w:val="cardmaininfo__content"/>
    <w:basedOn w:val="a2"/>
    <w:rsid w:val="00A27DF6"/>
  </w:style>
  <w:style w:type="character" w:customStyle="1" w:styleId="FontStyle30">
    <w:name w:val="Font Style30"/>
    <w:uiPriority w:val="99"/>
    <w:rsid w:val="00A27DF6"/>
    <w:rPr>
      <w:rFonts w:ascii="Times New Roman" w:hAnsi="Times New Roman" w:cs="Times New Roman" w:hint="default"/>
      <w:sz w:val="24"/>
      <w:szCs w:val="24"/>
    </w:rPr>
  </w:style>
  <w:style w:type="character" w:customStyle="1" w:styleId="FontStyle31">
    <w:name w:val="Font Style31"/>
    <w:uiPriority w:val="99"/>
    <w:rsid w:val="00A27DF6"/>
    <w:rPr>
      <w:rFonts w:ascii="Arial" w:hAnsi="Arial" w:cs="Arial" w:hint="default"/>
      <w:sz w:val="22"/>
      <w:szCs w:val="22"/>
    </w:rPr>
  </w:style>
  <w:style w:type="character" w:customStyle="1" w:styleId="violet">
    <w:name w:val="violet"/>
    <w:basedOn w:val="a2"/>
    <w:rsid w:val="00A27DF6"/>
  </w:style>
  <w:style w:type="character" w:customStyle="1" w:styleId="extendedtext-full">
    <w:name w:val="extendedtext-full"/>
    <w:basedOn w:val="a2"/>
    <w:rsid w:val="00A27DF6"/>
  </w:style>
  <w:style w:type="character" w:customStyle="1" w:styleId="hl">
    <w:name w:val="hl"/>
    <w:basedOn w:val="a2"/>
    <w:rsid w:val="00A27DF6"/>
  </w:style>
  <w:style w:type="character" w:customStyle="1" w:styleId="pt-a0-000010">
    <w:name w:val="pt-a0-000010"/>
    <w:basedOn w:val="a2"/>
    <w:rsid w:val="00A27DF6"/>
  </w:style>
  <w:style w:type="paragraph" w:styleId="aff2">
    <w:name w:val="annotation subject"/>
    <w:basedOn w:val="afb"/>
    <w:next w:val="afb"/>
    <w:link w:val="aff1"/>
    <w:unhideWhenUsed/>
    <w:rsid w:val="00A27DF6"/>
    <w:rPr>
      <w:b/>
      <w:bCs/>
      <w:lang w:val="x-none" w:eastAsia="x-none"/>
    </w:rPr>
  </w:style>
  <w:style w:type="character" w:customStyle="1" w:styleId="1fa">
    <w:name w:val="Тема примечания Знак1"/>
    <w:basedOn w:val="13"/>
    <w:rsid w:val="00A27DF6"/>
    <w:rPr>
      <w:b/>
      <w:bCs/>
    </w:rPr>
  </w:style>
  <w:style w:type="character" w:customStyle="1" w:styleId="FontStyle105">
    <w:name w:val="Font Style105"/>
    <w:uiPriority w:val="99"/>
    <w:rsid w:val="00A27DF6"/>
    <w:rPr>
      <w:rFonts w:ascii="Times New Roman" w:hAnsi="Times New Roman" w:cs="Times New Roman" w:hint="default"/>
      <w:sz w:val="26"/>
      <w:szCs w:val="26"/>
    </w:rPr>
  </w:style>
  <w:style w:type="table" w:styleId="affff0">
    <w:name w:val="Table Elegant"/>
    <w:basedOn w:val="a3"/>
    <w:uiPriority w:val="99"/>
    <w:semiHidden/>
    <w:unhideWhenUsed/>
    <w:rsid w:val="00A27DF6"/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b">
    <w:name w:val="Изысканная таблица1"/>
    <w:uiPriority w:val="99"/>
    <w:rsid w:val="00A27D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Изысканная таблица2"/>
    <w:uiPriority w:val="99"/>
    <w:rsid w:val="00A27D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c">
    <w:name w:val="Сетка таблицы1"/>
    <w:uiPriority w:val="99"/>
    <w:rsid w:val="00A27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Изысканная таблица11"/>
    <w:uiPriority w:val="99"/>
    <w:rsid w:val="00A27D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тиль маркированный"/>
    <w:rsid w:val="00A27DF6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garantF1://74304210.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andex.ru/maps/47/nizhny-novgorod/house/ulitsa_chaykovskogo_12/YEoYfgJoT0cAQFtsfX93cXpqYg==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garantF1://70584666.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usprofile.ru/codes/259320/nizhegorodskaya-oblast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garantF1://12012604.0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_____Microsoft_Excel_97-2003.xls"/><Relationship Id="rId19" Type="http://schemas.openxmlformats.org/officeDocument/2006/relationships/image" Target="media/image10.png"/><Relationship Id="rId31" Type="http://schemas.openxmlformats.org/officeDocument/2006/relationships/hyperlink" Target="garantF1://74304210.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hyperlink" Target="garantF1://36431324.0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32C43590AA4C7797B40C092AE858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FB3BFD-F687-4E9C-BB2C-8DCE78E773C0}"/>
      </w:docPartPr>
      <w:docPartBody>
        <w:p w:rsidR="00975EEE" w:rsidRDefault="005D5CD8" w:rsidP="005D5CD8">
          <w:pPr>
            <w:pStyle w:val="6C32C43590AA4C7797B40C092AE8584F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8305BE89C6854C1EBF316E4C4DE15E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3605C8-DE2B-4FBD-87BB-E06A6EEA85B0}"/>
      </w:docPartPr>
      <w:docPartBody>
        <w:p w:rsidR="00975EEE" w:rsidRDefault="00BA47E3" w:rsidP="00BA47E3">
          <w:pPr>
            <w:pStyle w:val="8305BE89C6854C1EBF316E4C4DE15E113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AC56FBE1A88043EEA97C8103FF89DA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87F6E-D227-4A6A-A953-A4FCCC56C402}"/>
      </w:docPartPr>
      <w:docPartBody>
        <w:p w:rsidR="004E7144" w:rsidRDefault="00303093" w:rsidP="00303093">
          <w:pPr>
            <w:pStyle w:val="AC56FBE1A88043EEA97C8103FF89DAD3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ltic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, serif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+mn-ea"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CD8"/>
    <w:rsid w:val="00031956"/>
    <w:rsid w:val="0008243A"/>
    <w:rsid w:val="00183596"/>
    <w:rsid w:val="00303093"/>
    <w:rsid w:val="00387916"/>
    <w:rsid w:val="00466111"/>
    <w:rsid w:val="004E7144"/>
    <w:rsid w:val="005355FD"/>
    <w:rsid w:val="005D5CD8"/>
    <w:rsid w:val="00660913"/>
    <w:rsid w:val="00725AC0"/>
    <w:rsid w:val="007612E4"/>
    <w:rsid w:val="007F241A"/>
    <w:rsid w:val="008B1471"/>
    <w:rsid w:val="008D60E9"/>
    <w:rsid w:val="00975EEE"/>
    <w:rsid w:val="00A65AEF"/>
    <w:rsid w:val="00A973C7"/>
    <w:rsid w:val="00B91AA0"/>
    <w:rsid w:val="00BA47E3"/>
    <w:rsid w:val="00BC1608"/>
    <w:rsid w:val="00BF13F1"/>
    <w:rsid w:val="00C36246"/>
    <w:rsid w:val="00D03E62"/>
    <w:rsid w:val="00D73FD0"/>
    <w:rsid w:val="00D7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47E3"/>
    <w:rPr>
      <w:color w:val="808080"/>
    </w:rPr>
  </w:style>
  <w:style w:type="paragraph" w:customStyle="1" w:styleId="136289AEE01F4CF29D5BB08584249F6B">
    <w:name w:val="136289AEE01F4CF29D5BB08584249F6B"/>
    <w:rsid w:val="005D5CD8"/>
  </w:style>
  <w:style w:type="paragraph" w:customStyle="1" w:styleId="EC0B51385E804832A39A72024A2DAE0C">
    <w:name w:val="EC0B51385E804832A39A72024A2DAE0C"/>
    <w:rsid w:val="005D5CD8"/>
  </w:style>
  <w:style w:type="character" w:customStyle="1" w:styleId="Datenum">
    <w:name w:val="Date_num"/>
    <w:basedOn w:val="a0"/>
    <w:rsid w:val="00303093"/>
  </w:style>
  <w:style w:type="paragraph" w:customStyle="1" w:styleId="7567E2CCA32041ABB5008CE0D4D1AA53">
    <w:name w:val="7567E2CCA32041ABB5008CE0D4D1AA53"/>
    <w:rsid w:val="005D5CD8"/>
  </w:style>
  <w:style w:type="paragraph" w:customStyle="1" w:styleId="A37E9EC311EC46C9B0FC63779F832296">
    <w:name w:val="A37E9EC311EC46C9B0FC63779F832296"/>
    <w:rsid w:val="005D5CD8"/>
  </w:style>
  <w:style w:type="paragraph" w:customStyle="1" w:styleId="2D6F26A1A7934406AFD57FDDDA4BD589">
    <w:name w:val="2D6F26A1A7934406AFD57FDDDA4BD589"/>
    <w:rsid w:val="005D5CD8"/>
  </w:style>
  <w:style w:type="paragraph" w:customStyle="1" w:styleId="7652F49779E24FF09B70E7367704B4D0">
    <w:name w:val="7652F49779E24FF09B70E7367704B4D0"/>
    <w:rsid w:val="005D5CD8"/>
  </w:style>
  <w:style w:type="paragraph" w:customStyle="1" w:styleId="69385E4D2E7745AAA2A4270B796994E4">
    <w:name w:val="69385E4D2E7745AAA2A4270B796994E4"/>
    <w:rsid w:val="005D5CD8"/>
  </w:style>
  <w:style w:type="paragraph" w:customStyle="1" w:styleId="EDFF9B4860E849E7B51B9D9CF51A0EFC">
    <w:name w:val="EDFF9B4860E849E7B51B9D9CF51A0EFC"/>
    <w:rsid w:val="005D5CD8"/>
  </w:style>
  <w:style w:type="paragraph" w:customStyle="1" w:styleId="96B203A4D21A4648BA119588A10A8233">
    <w:name w:val="96B203A4D21A4648BA119588A10A8233"/>
    <w:rsid w:val="005D5CD8"/>
  </w:style>
  <w:style w:type="paragraph" w:customStyle="1" w:styleId="C07566842AAD46DD8F30C4AA1E1A6323">
    <w:name w:val="C07566842AAD46DD8F30C4AA1E1A6323"/>
    <w:rsid w:val="005D5CD8"/>
  </w:style>
  <w:style w:type="paragraph" w:customStyle="1" w:styleId="192BD66EFF564EF8B7E24BAD8F89D0E5">
    <w:name w:val="192BD66EFF564EF8B7E24BAD8F89D0E5"/>
    <w:rsid w:val="005D5CD8"/>
  </w:style>
  <w:style w:type="paragraph" w:customStyle="1" w:styleId="7F0CEC2F53FB40A9AC5A008E958E0D1F">
    <w:name w:val="7F0CEC2F53FB40A9AC5A008E958E0D1F"/>
    <w:rsid w:val="005D5CD8"/>
  </w:style>
  <w:style w:type="paragraph" w:customStyle="1" w:styleId="712CF53E1C4A47D4B30164AD2F96CFDE">
    <w:name w:val="712CF53E1C4A47D4B30164AD2F96CFDE"/>
    <w:rsid w:val="005D5CD8"/>
  </w:style>
  <w:style w:type="paragraph" w:customStyle="1" w:styleId="DB0FC944A2884BB6B6D6F0FE356DE5B0">
    <w:name w:val="DB0FC944A2884BB6B6D6F0FE356DE5B0"/>
    <w:rsid w:val="005D5CD8"/>
  </w:style>
  <w:style w:type="paragraph" w:customStyle="1" w:styleId="6C32C43590AA4C7797B40C092AE8584F">
    <w:name w:val="6C32C43590AA4C7797B40C092AE8584F"/>
    <w:rsid w:val="005D5CD8"/>
  </w:style>
  <w:style w:type="paragraph" w:customStyle="1" w:styleId="8305BE89C6854C1EBF316E4C4DE15E11">
    <w:name w:val="8305BE89C6854C1EBF316E4C4DE15E11"/>
    <w:rsid w:val="005D5CD8"/>
  </w:style>
  <w:style w:type="paragraph" w:customStyle="1" w:styleId="8305BE89C6854C1EBF316E4C4DE15E111">
    <w:name w:val="8305BE89C6854C1EBF316E4C4DE15E111"/>
    <w:rsid w:val="005355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0CEC2F53FB40A9AC5A008E958E0D1F1">
    <w:name w:val="7F0CEC2F53FB40A9AC5A008E958E0D1F1"/>
    <w:rsid w:val="005355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305BE89C6854C1EBF316E4C4DE15E112">
    <w:name w:val="8305BE89C6854C1EBF316E4C4DE15E112"/>
    <w:rsid w:val="005355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0CEC2F53FB40A9AC5A008E958E0D1F2">
    <w:name w:val="7F0CEC2F53FB40A9AC5A008E958E0D1F2"/>
    <w:rsid w:val="005355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A64689D38A84182BD731B80885F0B52">
    <w:name w:val="FA64689D38A84182BD731B80885F0B52"/>
    <w:rsid w:val="00BA47E3"/>
  </w:style>
  <w:style w:type="paragraph" w:customStyle="1" w:styleId="C3922D444D68482B9A1D3D0455E7C4C5">
    <w:name w:val="C3922D444D68482B9A1D3D0455E7C4C5"/>
    <w:rsid w:val="00BA47E3"/>
  </w:style>
  <w:style w:type="paragraph" w:customStyle="1" w:styleId="8305BE89C6854C1EBF316E4C4DE15E113">
    <w:name w:val="8305BE89C6854C1EBF316E4C4DE15E113"/>
    <w:rsid w:val="00BA4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3922D444D68482B9A1D3D0455E7C4C51">
    <w:name w:val="C3922D444D68482B9A1D3D0455E7C4C51"/>
    <w:rsid w:val="00BA4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C4E73B63B654E549579A942E530193B">
    <w:name w:val="5C4E73B63B654E549579A942E530193B"/>
    <w:rsid w:val="00183596"/>
  </w:style>
  <w:style w:type="paragraph" w:customStyle="1" w:styleId="AC56FBE1A88043EEA97C8103FF89DAD3">
    <w:name w:val="AC56FBE1A88043EEA97C8103FF89DAD3"/>
    <w:rsid w:val="003030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75</Pages>
  <Words>22586</Words>
  <Characters>163411</Characters>
  <Application>Microsoft Office Word</Application>
  <DocSecurity>0</DocSecurity>
  <Lines>1361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Administration N. Novgorod</Company>
  <LinksUpToDate>false</LinksUpToDate>
  <CharactersWithSpaces>185626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Chel</dc:creator>
  <cp:keywords/>
  <cp:lastModifiedBy>Кринина Екатерина Васильевна</cp:lastModifiedBy>
  <cp:revision>10</cp:revision>
  <cp:lastPrinted>2023-10-30T13:53:00Z</cp:lastPrinted>
  <dcterms:created xsi:type="dcterms:W3CDTF">2021-07-16T12:12:00Z</dcterms:created>
  <dcterms:modified xsi:type="dcterms:W3CDTF">2023-11-03T06:22:00Z</dcterms:modified>
</cp:coreProperties>
</file>